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4CA02D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0974CB8B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</w:t>
            </w:r>
            <w:r w:rsidR="001643F7">
              <w:rPr>
                <w:b/>
              </w:rPr>
              <w:t xml:space="preserve"> </w:t>
            </w:r>
            <w:r w:rsidR="009A5822" w:rsidRPr="00F62D86">
              <w:rPr>
                <w:b/>
              </w:rPr>
              <w:t xml:space="preserve">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9C5743" w14:textId="53AA73C0" w:rsidR="006555AE" w:rsidRPr="00F350BB" w:rsidRDefault="00F350BB" w:rsidP="00C176A4">
            <w:pPr>
              <w:jc w:val="both"/>
              <w:rPr>
                <w:bCs/>
              </w:rPr>
            </w:pPr>
            <w:r w:rsidRPr="00F350BB">
              <w:rPr>
                <w:bCs/>
              </w:rPr>
              <w:t xml:space="preserve">Nacrt prijedloga </w:t>
            </w:r>
            <w:r w:rsidR="001643F7">
              <w:rPr>
                <w:bCs/>
              </w:rPr>
              <w:t>Pravilnika</w:t>
            </w:r>
            <w:r w:rsidR="002F1C23">
              <w:rPr>
                <w:color w:val="000000"/>
                <w:shd w:val="clear" w:color="auto" w:fill="FFFFFF"/>
              </w:rPr>
              <w:t xml:space="preserve"> o uvjetima i načinu dodjeljivanja sredstava Fonda te kriterijima i mjerilima za ocjenjivanje zahtjeva za dodjeljivanje sredstava Fonda </w:t>
            </w:r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BCC9781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Nositelj izrade nacrta akta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64EC6D3A" w:rsidR="00487368" w:rsidRPr="00F350BB" w:rsidRDefault="001643F7" w:rsidP="00F350BB">
            <w:pPr>
              <w:jc w:val="both"/>
              <w:rPr>
                <w:bCs/>
              </w:rPr>
            </w:pPr>
            <w:r>
              <w:rPr>
                <w:bCs/>
              </w:rPr>
              <w:t>Fond za zaštitu okoliša i energetsku učinkovitost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7974A795" w:rsidR="00487368" w:rsidRPr="00F350BB" w:rsidRDefault="002F1C23" w:rsidP="00F350BB">
            <w:pPr>
              <w:rPr>
                <w:bCs/>
              </w:rPr>
            </w:pPr>
            <w:r>
              <w:rPr>
                <w:bCs/>
              </w:rPr>
              <w:t>20.2.2024. – 5.3.2024.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06B0185F" w14:textId="77777777" w:rsidR="00BD75B8" w:rsidRPr="00C57758" w:rsidRDefault="00BD75B8" w:rsidP="00487368">
      <w:pPr>
        <w:rPr>
          <w:b/>
          <w:bCs/>
        </w:rPr>
      </w:pPr>
    </w:p>
    <w:p w14:paraId="5608A519" w14:textId="77777777" w:rsidR="00BD75B8" w:rsidRDefault="00BD75B8" w:rsidP="00487368"/>
    <w:tbl>
      <w:tblPr>
        <w:tblStyle w:val="Reetkatablice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0"/>
        <w:gridCol w:w="1721"/>
        <w:gridCol w:w="1701"/>
        <w:gridCol w:w="3402"/>
        <w:gridCol w:w="2693"/>
      </w:tblGrid>
      <w:tr w:rsidR="004F53B0" w14:paraId="7C04F72E" w14:textId="77777777" w:rsidTr="00146522">
        <w:tc>
          <w:tcPr>
            <w:tcW w:w="690" w:type="dxa"/>
          </w:tcPr>
          <w:p w14:paraId="711B12C9" w14:textId="2529C670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Red.</w:t>
            </w:r>
          </w:p>
          <w:p w14:paraId="41CA6FAF" w14:textId="36AC9DE9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br.</w:t>
            </w:r>
          </w:p>
        </w:tc>
        <w:tc>
          <w:tcPr>
            <w:tcW w:w="1721" w:type="dxa"/>
          </w:tcPr>
          <w:p w14:paraId="4AB527B1" w14:textId="15F48C56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Predstavnic</w:t>
            </w:r>
            <w:r w:rsidR="00C57758">
              <w:rPr>
                <w:rFonts w:eastAsia="TimesNewRomanPSMT"/>
                <w:b/>
                <w:bCs/>
              </w:rPr>
              <w:t>i</w:t>
            </w:r>
          </w:p>
          <w:p w14:paraId="22C081ED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javnosti</w:t>
            </w:r>
          </w:p>
          <w:p w14:paraId="4E4525A8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(pojedinac,</w:t>
            </w:r>
          </w:p>
          <w:p w14:paraId="6036CAFF" w14:textId="06A17E6A" w:rsidR="00C57758" w:rsidRDefault="00A26B5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>
              <w:rPr>
                <w:rFonts w:eastAsia="TimesNewRomanPSMT"/>
                <w:b/>
                <w:bCs/>
              </w:rPr>
              <w:t>o</w:t>
            </w:r>
            <w:r w:rsidR="00BD75B8" w:rsidRPr="00BD75B8">
              <w:rPr>
                <w:rFonts w:eastAsia="TimesNewRomanPSMT"/>
                <w:b/>
                <w:bCs/>
              </w:rPr>
              <w:t>rganizacija</w:t>
            </w:r>
            <w:r>
              <w:rPr>
                <w:rFonts w:eastAsia="TimesNewRomanPSMT"/>
                <w:b/>
                <w:bCs/>
              </w:rPr>
              <w:t>,</w:t>
            </w:r>
          </w:p>
          <w:p w14:paraId="0E2B6D4F" w14:textId="031F8389" w:rsidR="00BD75B8" w:rsidRPr="00C57758" w:rsidRDefault="00A26B58" w:rsidP="009E6C65">
            <w:pPr>
              <w:autoSpaceDE w:val="0"/>
              <w:autoSpaceDN w:val="0"/>
              <w:adjustRightInd w:val="0"/>
              <w:rPr>
                <w:rFonts w:eastAsia="TimesNewRomanPSMT"/>
                <w:b/>
                <w:bCs/>
              </w:rPr>
            </w:pPr>
            <w:r>
              <w:rPr>
                <w:rFonts w:eastAsia="TimesNewRomanPSMT"/>
                <w:b/>
                <w:bCs/>
              </w:rPr>
              <w:t xml:space="preserve">    </w:t>
            </w:r>
            <w:r w:rsidR="00BD75B8" w:rsidRPr="00BD75B8">
              <w:rPr>
                <w:rFonts w:eastAsia="TimesNewRomanPSMT"/>
                <w:b/>
                <w:bCs/>
              </w:rPr>
              <w:t>institucija)</w:t>
            </w:r>
          </w:p>
        </w:tc>
        <w:tc>
          <w:tcPr>
            <w:tcW w:w="1701" w:type="dxa"/>
          </w:tcPr>
          <w:p w14:paraId="17B066C8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Članak na</w:t>
            </w:r>
          </w:p>
          <w:p w14:paraId="6563C4D8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koji se</w:t>
            </w:r>
          </w:p>
          <w:p w14:paraId="3F838988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odnosi</w:t>
            </w:r>
          </w:p>
          <w:p w14:paraId="343FF1EF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primjedba/</w:t>
            </w:r>
          </w:p>
          <w:p w14:paraId="330D3648" w14:textId="14313B43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prijedlog</w:t>
            </w:r>
          </w:p>
        </w:tc>
        <w:tc>
          <w:tcPr>
            <w:tcW w:w="3402" w:type="dxa"/>
          </w:tcPr>
          <w:p w14:paraId="260D2BA8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Tekst primjedbe/</w:t>
            </w:r>
          </w:p>
          <w:p w14:paraId="1CE8460B" w14:textId="62508832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prijedloga</w:t>
            </w:r>
          </w:p>
        </w:tc>
        <w:tc>
          <w:tcPr>
            <w:tcW w:w="2693" w:type="dxa"/>
          </w:tcPr>
          <w:p w14:paraId="297B4CA3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Prihvaćanje/ neprihvaćanje</w:t>
            </w:r>
          </w:p>
          <w:p w14:paraId="7A37C980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primjedbe/ prijedloga sa</w:t>
            </w:r>
          </w:p>
          <w:p w14:paraId="15D3DE54" w14:textId="493A2DDC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obrazloženjem</w:t>
            </w:r>
          </w:p>
        </w:tc>
      </w:tr>
      <w:tr w:rsidR="004F53B0" w14:paraId="174C959E" w14:textId="77777777" w:rsidTr="00146522">
        <w:trPr>
          <w:trHeight w:val="2590"/>
        </w:trPr>
        <w:tc>
          <w:tcPr>
            <w:tcW w:w="690" w:type="dxa"/>
          </w:tcPr>
          <w:p w14:paraId="658BA887" w14:textId="700A2626" w:rsidR="00BD75B8" w:rsidRDefault="00446F4C" w:rsidP="00487368">
            <w:r>
              <w:t>1.</w:t>
            </w:r>
          </w:p>
        </w:tc>
        <w:tc>
          <w:tcPr>
            <w:tcW w:w="1721" w:type="dxa"/>
          </w:tcPr>
          <w:p w14:paraId="6C279E31" w14:textId="77777777" w:rsidR="00BD75B8" w:rsidRPr="00EE6FFC" w:rsidRDefault="00263EE5" w:rsidP="00487368">
            <w:r w:rsidRPr="00EE6FFC">
              <w:t>Članovi Ekološke udruge „Krka“ Knin (broj članova 91)</w:t>
            </w:r>
          </w:p>
          <w:p w14:paraId="00AFBBCE" w14:textId="77777777" w:rsidR="001E76D7" w:rsidRPr="00EE6FFC" w:rsidRDefault="001E76D7" w:rsidP="00487368"/>
          <w:p w14:paraId="3D59CEF8" w14:textId="38F7DAC9" w:rsidR="001E76D7" w:rsidRPr="00EE6FFC" w:rsidRDefault="00A26B58" w:rsidP="00487368">
            <w:r>
              <w:t xml:space="preserve">Članovi </w:t>
            </w:r>
            <w:r w:rsidR="001E76D7" w:rsidRPr="00EE6FFC">
              <w:t>Zelen</w:t>
            </w:r>
            <w:r>
              <w:t>og</w:t>
            </w:r>
            <w:r w:rsidR="001E76D7" w:rsidRPr="00EE6FFC">
              <w:t xml:space="preserve"> forum</w:t>
            </w:r>
            <w:r>
              <w:t>a</w:t>
            </w:r>
            <w:r w:rsidR="001E76D7" w:rsidRPr="00EE6FFC">
              <w:t xml:space="preserve">  (</w:t>
            </w:r>
            <w:r>
              <w:t xml:space="preserve">26 </w:t>
            </w:r>
            <w:r w:rsidR="001E76D7" w:rsidRPr="00EE6FFC">
              <w:t xml:space="preserve">udruga </w:t>
            </w:r>
            <w:r>
              <w:t>za zaštitu okoliša)</w:t>
            </w:r>
          </w:p>
          <w:p w14:paraId="7A7B5B78" w14:textId="77777777" w:rsidR="001E76D7" w:rsidRPr="00EE6FFC" w:rsidRDefault="001E76D7" w:rsidP="00487368"/>
          <w:p w14:paraId="32199606" w14:textId="77777777" w:rsidR="001E76D7" w:rsidRPr="00EE6FFC" w:rsidRDefault="001E76D7" w:rsidP="00487368"/>
          <w:p w14:paraId="539D1B62" w14:textId="67DAE2EA" w:rsidR="001E76D7" w:rsidRPr="00EE6FFC" w:rsidRDefault="001E76D7" w:rsidP="00487368">
            <w:r w:rsidRPr="00EE6FFC">
              <w:t xml:space="preserve">Brodsko ekološko društvo- BED </w:t>
            </w:r>
            <w:r w:rsidR="00A26B58">
              <w:t>(broj članova 65)</w:t>
            </w:r>
          </w:p>
          <w:p w14:paraId="53EE6B03" w14:textId="77777777" w:rsidR="001E76D7" w:rsidRPr="00EE6FFC" w:rsidRDefault="001E76D7" w:rsidP="00487368"/>
          <w:p w14:paraId="2BF3734D" w14:textId="77777777" w:rsidR="001E76D7" w:rsidRPr="00EE6FFC" w:rsidRDefault="001E76D7" w:rsidP="00487368"/>
          <w:p w14:paraId="1C3C4572" w14:textId="77777777" w:rsidR="001E76D7" w:rsidRPr="00EE6FFC" w:rsidRDefault="001E76D7" w:rsidP="00487368"/>
          <w:p w14:paraId="06C887EF" w14:textId="77777777" w:rsidR="001E76D7" w:rsidRPr="00EE6FFC" w:rsidRDefault="001E76D7" w:rsidP="00487368"/>
          <w:p w14:paraId="39CD36F5" w14:textId="3BDE6CFE" w:rsidR="001E76D7" w:rsidRPr="00EE6FFC" w:rsidRDefault="001E76D7" w:rsidP="00487368"/>
        </w:tc>
        <w:tc>
          <w:tcPr>
            <w:tcW w:w="1701" w:type="dxa"/>
          </w:tcPr>
          <w:p w14:paraId="43AA6260" w14:textId="77777777" w:rsidR="00BD75B8" w:rsidRPr="00EE6FFC" w:rsidRDefault="00446F4C" w:rsidP="00487368">
            <w:r w:rsidRPr="00EE6FFC">
              <w:t>Načelne primjedbe i prijedlozi na predložen nacrt akta s obrazloženjem</w:t>
            </w:r>
          </w:p>
          <w:p w14:paraId="065B5013" w14:textId="77777777" w:rsidR="00EE6FFC" w:rsidRPr="00EE6FFC" w:rsidRDefault="00EE6FFC" w:rsidP="00487368"/>
          <w:p w14:paraId="539925F3" w14:textId="77777777" w:rsidR="00EE6FFC" w:rsidRPr="00EE6FFC" w:rsidRDefault="00EE6FFC" w:rsidP="00487368"/>
          <w:p w14:paraId="1950A093" w14:textId="77777777" w:rsidR="00EE6FFC" w:rsidRPr="00EE6FFC" w:rsidRDefault="00EE6FFC" w:rsidP="00487368"/>
          <w:p w14:paraId="676ADDAA" w14:textId="77777777" w:rsidR="00EE6FFC" w:rsidRPr="00EE6FFC" w:rsidRDefault="00EE6FFC" w:rsidP="00487368"/>
          <w:p w14:paraId="251058A2" w14:textId="77777777" w:rsidR="00EE6FFC" w:rsidRPr="00EE6FFC" w:rsidRDefault="00EE6FFC" w:rsidP="00487368"/>
          <w:p w14:paraId="4A6DEFC9" w14:textId="77777777" w:rsidR="00EE6FFC" w:rsidRPr="00EE6FFC" w:rsidRDefault="00EE6FFC" w:rsidP="00487368"/>
          <w:p w14:paraId="47BEED2D" w14:textId="77777777" w:rsidR="00EE6FFC" w:rsidRPr="00EE6FFC" w:rsidRDefault="00EE6FFC" w:rsidP="00487368"/>
          <w:p w14:paraId="77E5419F" w14:textId="77777777" w:rsidR="00EE6FFC" w:rsidRPr="00EE6FFC" w:rsidRDefault="00EE6FFC" w:rsidP="00487368"/>
          <w:p w14:paraId="51A25F40" w14:textId="77777777" w:rsidR="00EE6FFC" w:rsidRPr="00EE6FFC" w:rsidRDefault="00EE6FFC" w:rsidP="00487368"/>
          <w:p w14:paraId="21468066" w14:textId="77777777" w:rsidR="00EE6FFC" w:rsidRPr="00EE6FFC" w:rsidRDefault="00EE6FFC" w:rsidP="00487368"/>
          <w:p w14:paraId="4C4B7403" w14:textId="77777777" w:rsidR="00EE6FFC" w:rsidRPr="00EE6FFC" w:rsidRDefault="00EE6FFC" w:rsidP="00487368"/>
          <w:p w14:paraId="116E3DC8" w14:textId="77777777" w:rsidR="00EE6FFC" w:rsidRPr="00EE6FFC" w:rsidRDefault="00EE6FFC" w:rsidP="00487368"/>
          <w:p w14:paraId="651026C1" w14:textId="77777777" w:rsidR="00EE6FFC" w:rsidRPr="00EE6FFC" w:rsidRDefault="00EE6FFC" w:rsidP="00487368"/>
          <w:p w14:paraId="4EE44BF4" w14:textId="77777777" w:rsidR="00EE6FFC" w:rsidRPr="00EE6FFC" w:rsidRDefault="00EE6FFC" w:rsidP="00487368"/>
          <w:p w14:paraId="46E4DD65" w14:textId="77777777" w:rsidR="00EE6FFC" w:rsidRPr="00EE6FFC" w:rsidRDefault="00EE6FFC" w:rsidP="00487368"/>
          <w:p w14:paraId="1E6071A9" w14:textId="77777777" w:rsidR="00EE6FFC" w:rsidRPr="00EE6FFC" w:rsidRDefault="00EE6FFC" w:rsidP="00487368"/>
          <w:p w14:paraId="7A91F1F6" w14:textId="77777777" w:rsidR="00EE6FFC" w:rsidRPr="00EE6FFC" w:rsidRDefault="00EE6FFC" w:rsidP="00487368"/>
          <w:p w14:paraId="2F23A2AE" w14:textId="77777777" w:rsidR="00EE6FFC" w:rsidRPr="00EE6FFC" w:rsidRDefault="00EE6FFC" w:rsidP="00487368"/>
          <w:p w14:paraId="6FB5A6BA" w14:textId="77777777" w:rsidR="00EE6FFC" w:rsidRPr="00EE6FFC" w:rsidRDefault="00EE6FFC" w:rsidP="00487368"/>
          <w:p w14:paraId="34174471" w14:textId="77777777" w:rsidR="00EE6FFC" w:rsidRPr="00EE6FFC" w:rsidRDefault="00EE6FFC" w:rsidP="00487368"/>
          <w:p w14:paraId="2D2F4AC6" w14:textId="77777777" w:rsidR="00EE6FFC" w:rsidRPr="00EE6FFC" w:rsidRDefault="00EE6FFC" w:rsidP="00487368"/>
          <w:p w14:paraId="5FFEA630" w14:textId="77777777" w:rsidR="00EE6FFC" w:rsidRPr="00EE6FFC" w:rsidRDefault="00EE6FFC" w:rsidP="00487368"/>
          <w:p w14:paraId="29651215" w14:textId="77777777" w:rsidR="00EE6FFC" w:rsidRPr="00EE6FFC" w:rsidRDefault="00EE6FFC" w:rsidP="00487368"/>
          <w:p w14:paraId="578E0A64" w14:textId="77777777" w:rsidR="00EE6FFC" w:rsidRPr="00EE6FFC" w:rsidRDefault="00EE6FFC" w:rsidP="00487368"/>
          <w:p w14:paraId="2B5CB2F2" w14:textId="77777777" w:rsidR="00EE6FFC" w:rsidRPr="00EE6FFC" w:rsidRDefault="00EE6FFC" w:rsidP="00487368"/>
          <w:p w14:paraId="0C7EAB73" w14:textId="77777777" w:rsidR="00EE6FFC" w:rsidRPr="00EE6FFC" w:rsidRDefault="00EE6FFC" w:rsidP="00487368"/>
          <w:p w14:paraId="4DDBF407" w14:textId="77777777" w:rsidR="00EE6FFC" w:rsidRPr="00EE6FFC" w:rsidRDefault="00EE6FFC" w:rsidP="00487368"/>
          <w:p w14:paraId="117B93C2" w14:textId="77777777" w:rsidR="00EE6FFC" w:rsidRPr="00EE6FFC" w:rsidRDefault="00EE6FFC" w:rsidP="00487368"/>
          <w:p w14:paraId="4FB917D8" w14:textId="77777777" w:rsidR="00EE6FFC" w:rsidRPr="00EE6FFC" w:rsidRDefault="00EE6FFC" w:rsidP="00487368"/>
          <w:p w14:paraId="1BB06682" w14:textId="77777777" w:rsidR="00EE6FFC" w:rsidRPr="00EE6FFC" w:rsidRDefault="00EE6FFC" w:rsidP="00487368"/>
          <w:p w14:paraId="4FB9D437" w14:textId="77777777" w:rsidR="00EE6FFC" w:rsidRPr="00EE6FFC" w:rsidRDefault="00EE6FFC" w:rsidP="00487368"/>
          <w:p w14:paraId="0D42EF94" w14:textId="77777777" w:rsidR="00EE6FFC" w:rsidRPr="00EE6FFC" w:rsidRDefault="00EE6FFC" w:rsidP="00487368"/>
          <w:p w14:paraId="4CAF1796" w14:textId="77777777" w:rsidR="00EE6FFC" w:rsidRPr="00EE6FFC" w:rsidRDefault="00EE6FFC" w:rsidP="00487368"/>
          <w:p w14:paraId="5956907B" w14:textId="77777777" w:rsidR="00EE6FFC" w:rsidRPr="00EE6FFC" w:rsidRDefault="00EE6FFC" w:rsidP="00487368"/>
          <w:p w14:paraId="16612AC5" w14:textId="77777777" w:rsidR="00EE6FFC" w:rsidRPr="00EE6FFC" w:rsidRDefault="00EE6FFC" w:rsidP="00487368"/>
          <w:p w14:paraId="63E1D2C0" w14:textId="77777777" w:rsidR="00EE6FFC" w:rsidRPr="00EE6FFC" w:rsidRDefault="00EE6FFC" w:rsidP="00487368"/>
          <w:p w14:paraId="7BC37A0A" w14:textId="77777777" w:rsidR="00EE6FFC" w:rsidRPr="00EE6FFC" w:rsidRDefault="00EE6FFC" w:rsidP="00487368"/>
          <w:p w14:paraId="16F231DC" w14:textId="77777777" w:rsidR="00EE6FFC" w:rsidRPr="00EE6FFC" w:rsidRDefault="00EE6FFC" w:rsidP="00487368"/>
          <w:p w14:paraId="22C11A5C" w14:textId="77777777" w:rsidR="00EE6FFC" w:rsidRPr="00EE6FFC" w:rsidRDefault="00EE6FFC" w:rsidP="00487368"/>
          <w:p w14:paraId="23E5C9A2" w14:textId="77777777" w:rsidR="00EE6FFC" w:rsidRPr="00EE6FFC" w:rsidRDefault="00EE6FFC" w:rsidP="00487368"/>
          <w:p w14:paraId="40BBE7F4" w14:textId="77777777" w:rsidR="00EE6FFC" w:rsidRPr="00EE6FFC" w:rsidRDefault="00EE6FFC" w:rsidP="00487368"/>
          <w:p w14:paraId="399FAD50" w14:textId="77777777" w:rsidR="00EE6FFC" w:rsidRPr="00EE6FFC" w:rsidRDefault="00EE6FFC" w:rsidP="00487368"/>
          <w:p w14:paraId="53428E6E" w14:textId="77777777" w:rsidR="00EE6FFC" w:rsidRPr="00EE6FFC" w:rsidRDefault="00EE6FFC" w:rsidP="00487368"/>
          <w:p w14:paraId="1422FFA2" w14:textId="77777777" w:rsidR="00E6217B" w:rsidRDefault="00E6217B" w:rsidP="00487368"/>
          <w:p w14:paraId="5B3EF2BD" w14:textId="77777777" w:rsidR="00E6217B" w:rsidRDefault="00E6217B" w:rsidP="00487368"/>
          <w:p w14:paraId="424B2BCF" w14:textId="77777777" w:rsidR="00E6217B" w:rsidRDefault="00E6217B" w:rsidP="00487368"/>
          <w:p w14:paraId="1C5528E5" w14:textId="77777777" w:rsidR="00E6217B" w:rsidRDefault="00E6217B" w:rsidP="00487368"/>
          <w:p w14:paraId="6EA6E637" w14:textId="77777777" w:rsidR="00E6217B" w:rsidRDefault="00E6217B" w:rsidP="00487368"/>
          <w:p w14:paraId="4C847110" w14:textId="77777777" w:rsidR="00E6217B" w:rsidRDefault="00E6217B" w:rsidP="00487368"/>
          <w:p w14:paraId="5BDE2693" w14:textId="77777777" w:rsidR="00E6217B" w:rsidRDefault="00E6217B" w:rsidP="00487368"/>
          <w:p w14:paraId="22680646" w14:textId="77777777" w:rsidR="00E6217B" w:rsidRDefault="00E6217B" w:rsidP="00487368"/>
          <w:p w14:paraId="312995AD" w14:textId="77777777" w:rsidR="00E6217B" w:rsidRDefault="00E6217B" w:rsidP="00487368"/>
          <w:p w14:paraId="2CA21227" w14:textId="77777777" w:rsidR="00E6217B" w:rsidRDefault="00E6217B" w:rsidP="00487368"/>
          <w:p w14:paraId="54B48E17" w14:textId="77777777" w:rsidR="00E6217B" w:rsidRDefault="00E6217B" w:rsidP="00487368"/>
          <w:p w14:paraId="1F8A7FAE" w14:textId="77777777" w:rsidR="00E6217B" w:rsidRDefault="00E6217B" w:rsidP="00487368"/>
          <w:p w14:paraId="679CBB34" w14:textId="2DBBFA9F" w:rsidR="00EE6FFC" w:rsidRPr="00EE6FFC" w:rsidRDefault="00EE6FFC" w:rsidP="00487368">
            <w:r w:rsidRPr="00EE6FFC">
              <w:t>Primjedbe i prijedlozi na pojedine članke nacrta prijedloga akta s obrazloženjem</w:t>
            </w:r>
          </w:p>
          <w:p w14:paraId="69673B89" w14:textId="77777777" w:rsidR="00EE6FFC" w:rsidRPr="00EE6FFC" w:rsidRDefault="00EE6FFC" w:rsidP="00487368">
            <w:r w:rsidRPr="00EE6FFC">
              <w:t xml:space="preserve">Članak 3. stavak 1. i 2. </w:t>
            </w:r>
          </w:p>
          <w:p w14:paraId="6B29811B" w14:textId="77777777" w:rsidR="00EE6FFC" w:rsidRPr="00EE6FFC" w:rsidRDefault="00EE6FFC" w:rsidP="00487368"/>
          <w:p w14:paraId="7B4AB2E8" w14:textId="77777777" w:rsidR="00EE6FFC" w:rsidRPr="00EE6FFC" w:rsidRDefault="00EE6FFC" w:rsidP="00487368"/>
          <w:p w14:paraId="5034A450" w14:textId="77777777" w:rsidR="00EE6FFC" w:rsidRPr="00EE6FFC" w:rsidRDefault="00EE6FFC" w:rsidP="00487368"/>
          <w:p w14:paraId="560E69D4" w14:textId="77777777" w:rsidR="00EE6FFC" w:rsidRPr="00EE6FFC" w:rsidRDefault="00EE6FFC" w:rsidP="00487368"/>
          <w:p w14:paraId="28CB9648" w14:textId="77777777" w:rsidR="00EE6FFC" w:rsidRPr="00EE6FFC" w:rsidRDefault="00EE6FFC" w:rsidP="00487368"/>
          <w:p w14:paraId="2F8A5640" w14:textId="77777777" w:rsidR="00EE6FFC" w:rsidRPr="00EE6FFC" w:rsidRDefault="00EE6FFC" w:rsidP="00487368"/>
          <w:p w14:paraId="6563BF2C" w14:textId="77777777" w:rsidR="00EE6FFC" w:rsidRPr="00EE6FFC" w:rsidRDefault="00EE6FFC" w:rsidP="00487368"/>
          <w:p w14:paraId="18AEE247" w14:textId="77777777" w:rsidR="00EE6FFC" w:rsidRPr="00EE6FFC" w:rsidRDefault="00EE6FFC" w:rsidP="00487368"/>
          <w:p w14:paraId="08097A32" w14:textId="77777777" w:rsidR="00EE6FFC" w:rsidRPr="00EE6FFC" w:rsidRDefault="00EE6FFC" w:rsidP="00487368"/>
          <w:p w14:paraId="45E21523" w14:textId="77777777" w:rsidR="00EE6FFC" w:rsidRPr="00EE6FFC" w:rsidRDefault="00EE6FFC" w:rsidP="00487368"/>
          <w:p w14:paraId="13C108D4" w14:textId="77777777" w:rsidR="00EE6FFC" w:rsidRPr="00EE6FFC" w:rsidRDefault="00EE6FFC" w:rsidP="00487368"/>
          <w:p w14:paraId="144BF3E5" w14:textId="77777777" w:rsidR="00EE6FFC" w:rsidRPr="00EE6FFC" w:rsidRDefault="00EE6FFC" w:rsidP="00487368"/>
          <w:p w14:paraId="4399BF47" w14:textId="77777777" w:rsidR="00EE6FFC" w:rsidRPr="00EE6FFC" w:rsidRDefault="00EE6FFC" w:rsidP="00487368"/>
          <w:p w14:paraId="0612373C" w14:textId="77777777" w:rsidR="00EE6FFC" w:rsidRPr="00EE6FFC" w:rsidRDefault="00EE6FFC" w:rsidP="00487368"/>
          <w:p w14:paraId="69A850CA" w14:textId="77777777" w:rsidR="00EE6FFC" w:rsidRPr="00EE6FFC" w:rsidRDefault="00EE6FFC" w:rsidP="00487368"/>
          <w:p w14:paraId="4CAC800C" w14:textId="77777777" w:rsidR="00EE6FFC" w:rsidRPr="00EE6FFC" w:rsidRDefault="00EE6FFC" w:rsidP="00487368"/>
          <w:p w14:paraId="281859ED" w14:textId="77777777" w:rsidR="00EE6FFC" w:rsidRPr="00EE6FFC" w:rsidRDefault="00EE6FFC" w:rsidP="00487368"/>
          <w:p w14:paraId="05973089" w14:textId="77777777" w:rsidR="00EE6FFC" w:rsidRPr="00EE6FFC" w:rsidRDefault="00EE6FFC" w:rsidP="00487368"/>
          <w:p w14:paraId="375FDDF0" w14:textId="77777777" w:rsidR="00EE6FFC" w:rsidRPr="00EE6FFC" w:rsidRDefault="00EE6FFC" w:rsidP="00487368"/>
          <w:p w14:paraId="5E209182" w14:textId="77777777" w:rsidR="00EE6FFC" w:rsidRPr="00EE6FFC" w:rsidRDefault="00EE6FFC" w:rsidP="00487368"/>
          <w:p w14:paraId="646713B5" w14:textId="77777777" w:rsidR="00EE6FFC" w:rsidRPr="00EE6FFC" w:rsidRDefault="00EE6FFC" w:rsidP="00487368"/>
          <w:p w14:paraId="05BE946D" w14:textId="77777777" w:rsidR="00EE6FFC" w:rsidRPr="00EE6FFC" w:rsidRDefault="00EE6FFC" w:rsidP="00487368"/>
          <w:p w14:paraId="6417B7BF" w14:textId="77777777" w:rsidR="00EE6FFC" w:rsidRPr="00EE6FFC" w:rsidRDefault="00EE6FFC" w:rsidP="00487368"/>
          <w:p w14:paraId="4725F515" w14:textId="77777777" w:rsidR="00EE6FFC" w:rsidRPr="00EE6FFC" w:rsidRDefault="00EE6FFC" w:rsidP="00487368"/>
          <w:p w14:paraId="7BFB5E55" w14:textId="77777777" w:rsidR="00EE6FFC" w:rsidRPr="00EE6FFC" w:rsidRDefault="00EE6FFC" w:rsidP="00487368"/>
          <w:p w14:paraId="5531A341" w14:textId="77777777" w:rsidR="00EE6FFC" w:rsidRPr="00EE6FFC" w:rsidRDefault="00EE6FFC" w:rsidP="00487368"/>
          <w:p w14:paraId="72AB4E35" w14:textId="77777777" w:rsidR="00EE6FFC" w:rsidRPr="00EE6FFC" w:rsidRDefault="00EE6FFC" w:rsidP="00487368"/>
          <w:p w14:paraId="3E853D0C" w14:textId="77777777" w:rsidR="00EE6FFC" w:rsidRPr="00EE6FFC" w:rsidRDefault="00EE6FFC" w:rsidP="00487368"/>
          <w:p w14:paraId="1351CD78" w14:textId="77777777" w:rsidR="00EE6FFC" w:rsidRPr="00EE6FFC" w:rsidRDefault="00EE6FFC" w:rsidP="00487368"/>
          <w:p w14:paraId="08D2C8E9" w14:textId="77777777" w:rsidR="00EE6FFC" w:rsidRPr="00EE6FFC" w:rsidRDefault="00EE6FFC" w:rsidP="00487368"/>
          <w:p w14:paraId="4E079B4E" w14:textId="77777777" w:rsidR="00EE6FFC" w:rsidRPr="00EE6FFC" w:rsidRDefault="00EE6FFC" w:rsidP="00487368"/>
          <w:p w14:paraId="212B9F21" w14:textId="77777777" w:rsidR="00EE6FFC" w:rsidRPr="00EE6FFC" w:rsidRDefault="00EE6FFC" w:rsidP="00487368"/>
          <w:p w14:paraId="729C6CE3" w14:textId="77777777" w:rsidR="00EE6FFC" w:rsidRPr="00EE6FFC" w:rsidRDefault="00EE6FFC" w:rsidP="00487368"/>
          <w:p w14:paraId="00DBA342" w14:textId="77777777" w:rsidR="00EE6FFC" w:rsidRPr="00EE6FFC" w:rsidRDefault="00EE6FFC" w:rsidP="00487368"/>
          <w:p w14:paraId="3A9BAB70" w14:textId="77777777" w:rsidR="00EE6FFC" w:rsidRPr="00EE6FFC" w:rsidRDefault="00EE6FFC" w:rsidP="00487368"/>
          <w:p w14:paraId="62A97D53" w14:textId="77777777" w:rsidR="00EE6FFC" w:rsidRPr="00EE6FFC" w:rsidRDefault="00EE6FFC" w:rsidP="00487368"/>
          <w:p w14:paraId="12E1B164" w14:textId="77777777" w:rsidR="00EE6FFC" w:rsidRPr="00EE6FFC" w:rsidRDefault="00EE6FFC" w:rsidP="00487368"/>
          <w:p w14:paraId="13378F73" w14:textId="77777777" w:rsidR="00EE6FFC" w:rsidRPr="00EE6FFC" w:rsidRDefault="00EE6FFC" w:rsidP="00487368"/>
          <w:p w14:paraId="33719FFA" w14:textId="77777777" w:rsidR="00EE6FFC" w:rsidRPr="00EE6FFC" w:rsidRDefault="00EE6FFC" w:rsidP="00487368"/>
          <w:p w14:paraId="579BFD78" w14:textId="77777777" w:rsidR="00EE6FFC" w:rsidRPr="00EE6FFC" w:rsidRDefault="00EE6FFC" w:rsidP="00487368"/>
          <w:p w14:paraId="3F53F872" w14:textId="77777777" w:rsidR="00EE6FFC" w:rsidRPr="00EE6FFC" w:rsidRDefault="00EE6FFC" w:rsidP="00487368"/>
          <w:p w14:paraId="23BB6E34" w14:textId="77777777" w:rsidR="00EE6FFC" w:rsidRPr="00EE6FFC" w:rsidRDefault="00EE6FFC" w:rsidP="00487368"/>
          <w:p w14:paraId="7FADE8A4" w14:textId="77777777" w:rsidR="00EE6FFC" w:rsidRPr="00EE6FFC" w:rsidRDefault="00EE6FFC" w:rsidP="00487368"/>
          <w:p w14:paraId="462328AA" w14:textId="77777777" w:rsidR="00EE6FFC" w:rsidRPr="00EE6FFC" w:rsidRDefault="00EE6FFC" w:rsidP="00487368"/>
          <w:p w14:paraId="05A13879" w14:textId="77777777" w:rsidR="00EE6FFC" w:rsidRPr="00EE6FFC" w:rsidRDefault="00EE6FFC" w:rsidP="00487368"/>
          <w:p w14:paraId="45964D92" w14:textId="77777777" w:rsidR="00EE6FFC" w:rsidRPr="00EE6FFC" w:rsidRDefault="00EE6FFC" w:rsidP="00487368"/>
          <w:p w14:paraId="2A99F80B" w14:textId="77777777" w:rsidR="00EE6FFC" w:rsidRPr="00EE6FFC" w:rsidRDefault="00EE6FFC" w:rsidP="00487368"/>
          <w:p w14:paraId="39670B08" w14:textId="77777777" w:rsidR="00EE6FFC" w:rsidRPr="00EE6FFC" w:rsidRDefault="00EE6FFC" w:rsidP="00487368"/>
          <w:p w14:paraId="5F5D2CB2" w14:textId="77777777" w:rsidR="00EE6FFC" w:rsidRPr="00EE6FFC" w:rsidRDefault="00EE6FFC" w:rsidP="00487368"/>
          <w:p w14:paraId="5522D39A" w14:textId="77777777" w:rsidR="00EE6FFC" w:rsidRPr="00EE6FFC" w:rsidRDefault="00EE6FFC" w:rsidP="00487368"/>
          <w:p w14:paraId="48EEE465" w14:textId="77777777" w:rsidR="00EE6FFC" w:rsidRPr="00EE6FFC" w:rsidRDefault="00EE6FFC" w:rsidP="00487368"/>
          <w:p w14:paraId="5C33A513" w14:textId="77777777" w:rsidR="00EE6FFC" w:rsidRPr="00EE6FFC" w:rsidRDefault="00EE6FFC" w:rsidP="00487368"/>
          <w:p w14:paraId="65083D4C" w14:textId="77777777" w:rsidR="00EE6FFC" w:rsidRPr="00EE6FFC" w:rsidRDefault="00EE6FFC" w:rsidP="00487368"/>
          <w:p w14:paraId="79698534" w14:textId="77777777" w:rsidR="00EE6FFC" w:rsidRPr="00EE6FFC" w:rsidRDefault="00EE6FFC" w:rsidP="00487368"/>
          <w:p w14:paraId="7AFBF6CB" w14:textId="77777777" w:rsidR="00EE6FFC" w:rsidRPr="00EE6FFC" w:rsidRDefault="00EE6FFC" w:rsidP="00487368"/>
          <w:p w14:paraId="0A709F46" w14:textId="77777777" w:rsidR="00EE6FFC" w:rsidRPr="00EE6FFC" w:rsidRDefault="00EE6FFC" w:rsidP="00487368"/>
          <w:p w14:paraId="5A3317FB" w14:textId="77777777" w:rsidR="00EE6FFC" w:rsidRPr="00EE6FFC" w:rsidRDefault="00EE6FFC" w:rsidP="00487368"/>
          <w:p w14:paraId="2FABC4C1" w14:textId="77777777" w:rsidR="00EE6FFC" w:rsidRPr="00EE6FFC" w:rsidRDefault="00EE6FFC" w:rsidP="00487368"/>
          <w:p w14:paraId="25246336" w14:textId="77777777" w:rsidR="00EE6FFC" w:rsidRPr="00EE6FFC" w:rsidRDefault="00EE6FFC" w:rsidP="00487368"/>
          <w:p w14:paraId="37216965" w14:textId="77777777" w:rsidR="00EE6FFC" w:rsidRPr="00EE6FFC" w:rsidRDefault="00EE6FFC" w:rsidP="00487368">
            <w:r w:rsidRPr="00EE6FFC">
              <w:lastRenderedPageBreak/>
              <w:t>Članak 7. Korisnici sredstava</w:t>
            </w:r>
          </w:p>
          <w:p w14:paraId="640A2BE2" w14:textId="77777777" w:rsidR="00EE6FFC" w:rsidRPr="00EE6FFC" w:rsidRDefault="00EE6FFC" w:rsidP="00487368"/>
          <w:p w14:paraId="0D89C7AA" w14:textId="77777777" w:rsidR="00EE6FFC" w:rsidRPr="00EE6FFC" w:rsidRDefault="00EE6FFC" w:rsidP="00487368"/>
          <w:p w14:paraId="76DC8EE5" w14:textId="77777777" w:rsidR="00EE6FFC" w:rsidRPr="00EE6FFC" w:rsidRDefault="00EE6FFC" w:rsidP="00487368"/>
          <w:p w14:paraId="18E6FB60" w14:textId="77777777" w:rsidR="00EE6FFC" w:rsidRPr="00EE6FFC" w:rsidRDefault="00EE6FFC" w:rsidP="00487368"/>
          <w:p w14:paraId="550466AA" w14:textId="77777777" w:rsidR="00EE6FFC" w:rsidRPr="00EE6FFC" w:rsidRDefault="00EE6FFC" w:rsidP="00487368"/>
          <w:p w14:paraId="44DB9CF5" w14:textId="77777777" w:rsidR="00EE6FFC" w:rsidRPr="00EE6FFC" w:rsidRDefault="00EE6FFC" w:rsidP="00487368"/>
          <w:p w14:paraId="6E1C7CA8" w14:textId="77777777" w:rsidR="00EE6FFC" w:rsidRPr="00EE6FFC" w:rsidRDefault="00EE6FFC" w:rsidP="00487368"/>
          <w:p w14:paraId="1F32EB16" w14:textId="77777777" w:rsidR="00EE6FFC" w:rsidRPr="00EE6FFC" w:rsidRDefault="00EE6FFC" w:rsidP="00487368"/>
          <w:p w14:paraId="3C4D473D" w14:textId="77777777" w:rsidR="00EE6FFC" w:rsidRPr="00EE6FFC" w:rsidRDefault="00EE6FFC" w:rsidP="00487368"/>
          <w:p w14:paraId="14D5D6AD" w14:textId="77777777" w:rsidR="00EE6FFC" w:rsidRPr="00EE6FFC" w:rsidRDefault="00EE6FFC" w:rsidP="00487368"/>
          <w:p w14:paraId="18B8E858" w14:textId="77777777" w:rsidR="00EE6FFC" w:rsidRPr="00EE6FFC" w:rsidRDefault="00EE6FFC" w:rsidP="00487368"/>
          <w:p w14:paraId="5214AA69" w14:textId="77777777" w:rsidR="00EE6FFC" w:rsidRPr="00EE6FFC" w:rsidRDefault="00EE6FFC" w:rsidP="00487368"/>
          <w:p w14:paraId="3C6E3038" w14:textId="77777777" w:rsidR="00EE6FFC" w:rsidRPr="00EE6FFC" w:rsidRDefault="00EE6FFC" w:rsidP="00487368"/>
          <w:p w14:paraId="34E79344" w14:textId="77777777" w:rsidR="00EE6FFC" w:rsidRPr="00EE6FFC" w:rsidRDefault="00EE6FFC" w:rsidP="00487368"/>
          <w:p w14:paraId="08FD19B6" w14:textId="77777777" w:rsidR="00EE6FFC" w:rsidRPr="00EE6FFC" w:rsidRDefault="00EE6FFC" w:rsidP="00487368"/>
          <w:p w14:paraId="78CCAEE3" w14:textId="77777777" w:rsidR="00EE6FFC" w:rsidRPr="00EE6FFC" w:rsidRDefault="00EE6FFC" w:rsidP="00487368"/>
          <w:p w14:paraId="3CF20463" w14:textId="77777777" w:rsidR="00EE6FFC" w:rsidRPr="00EE6FFC" w:rsidRDefault="00EE6FFC" w:rsidP="00487368"/>
          <w:p w14:paraId="10E02206" w14:textId="77777777" w:rsidR="00EE6FFC" w:rsidRPr="00EE6FFC" w:rsidRDefault="00EE6FFC" w:rsidP="00487368"/>
          <w:p w14:paraId="0AEFA50F" w14:textId="77777777" w:rsidR="00EE6FFC" w:rsidRPr="00EE6FFC" w:rsidRDefault="00EE6FFC" w:rsidP="00487368"/>
          <w:p w14:paraId="481BDA66" w14:textId="77777777" w:rsidR="00EE6FFC" w:rsidRPr="00EE6FFC" w:rsidRDefault="00EE6FFC" w:rsidP="00487368"/>
          <w:p w14:paraId="72B5B43F" w14:textId="77777777" w:rsidR="00EE6FFC" w:rsidRPr="00EE6FFC" w:rsidRDefault="00EE6FFC" w:rsidP="00487368"/>
          <w:p w14:paraId="45BA5113" w14:textId="77777777" w:rsidR="00EE6FFC" w:rsidRPr="00EE6FFC" w:rsidRDefault="00EE6FFC" w:rsidP="00487368"/>
          <w:p w14:paraId="7E9C41FF" w14:textId="77777777" w:rsidR="00EE6FFC" w:rsidRPr="00EE6FFC" w:rsidRDefault="00EE6FFC" w:rsidP="00487368"/>
          <w:p w14:paraId="59A01A7A" w14:textId="77777777" w:rsidR="00EE6FFC" w:rsidRPr="00EE6FFC" w:rsidRDefault="00EE6FFC" w:rsidP="00487368"/>
          <w:p w14:paraId="0C96D798" w14:textId="77777777" w:rsidR="00EE6FFC" w:rsidRPr="00EE6FFC" w:rsidRDefault="00EE6FFC" w:rsidP="00487368"/>
          <w:p w14:paraId="664D3CEF" w14:textId="77777777" w:rsidR="00EE6FFC" w:rsidRPr="00EE6FFC" w:rsidRDefault="00EE6FFC" w:rsidP="00487368"/>
          <w:p w14:paraId="53618E03" w14:textId="77777777" w:rsidR="00EE6FFC" w:rsidRPr="00EE6FFC" w:rsidRDefault="00EE6FFC" w:rsidP="00487368"/>
          <w:p w14:paraId="58F7C7E8" w14:textId="77777777" w:rsidR="00EE6FFC" w:rsidRPr="00EE6FFC" w:rsidRDefault="00EE6FFC" w:rsidP="00487368"/>
          <w:p w14:paraId="4F45108D" w14:textId="77777777" w:rsidR="00EE6FFC" w:rsidRPr="00EE6FFC" w:rsidRDefault="00EE6FFC" w:rsidP="00487368"/>
          <w:p w14:paraId="2EC6930D" w14:textId="77777777" w:rsidR="00EE6FFC" w:rsidRPr="00EE6FFC" w:rsidRDefault="00EE6FFC" w:rsidP="00487368"/>
          <w:p w14:paraId="20AB8A79" w14:textId="77777777" w:rsidR="00EE6FFC" w:rsidRPr="00EE6FFC" w:rsidRDefault="00EE6FFC" w:rsidP="00487368"/>
          <w:p w14:paraId="4D434F2E" w14:textId="77777777" w:rsidR="00EE6FFC" w:rsidRPr="00EE6FFC" w:rsidRDefault="00EE6FFC" w:rsidP="00487368"/>
          <w:p w14:paraId="2EE9DAA6" w14:textId="77777777" w:rsidR="00EE6FFC" w:rsidRPr="00EE6FFC" w:rsidRDefault="00EE6FFC" w:rsidP="00487368"/>
          <w:p w14:paraId="333BD5C0" w14:textId="77777777" w:rsidR="00EE6FFC" w:rsidRPr="00EE6FFC" w:rsidRDefault="00EE6FFC" w:rsidP="00487368"/>
          <w:p w14:paraId="7936E597" w14:textId="77777777" w:rsidR="00EE6FFC" w:rsidRPr="00EE6FFC" w:rsidRDefault="00EE6FFC" w:rsidP="00487368"/>
          <w:p w14:paraId="507B8AE6" w14:textId="77777777" w:rsidR="00EE6FFC" w:rsidRPr="00EE6FFC" w:rsidRDefault="00EE6FFC" w:rsidP="00487368"/>
          <w:p w14:paraId="60D9F155" w14:textId="77777777" w:rsidR="00EE6FFC" w:rsidRPr="00EE6FFC" w:rsidRDefault="00EE6FFC" w:rsidP="00487368"/>
          <w:p w14:paraId="0133367A" w14:textId="77777777" w:rsidR="00EE6FFC" w:rsidRPr="00EE6FFC" w:rsidRDefault="00EE6FFC" w:rsidP="00487368"/>
          <w:p w14:paraId="1799E61B" w14:textId="77777777" w:rsidR="00EE6FFC" w:rsidRPr="00EE6FFC" w:rsidRDefault="00EE6FFC" w:rsidP="00487368"/>
          <w:p w14:paraId="2F3193D9" w14:textId="77777777" w:rsidR="00EE6FFC" w:rsidRPr="00EE6FFC" w:rsidRDefault="00EE6FFC" w:rsidP="00487368"/>
          <w:p w14:paraId="0B9A52A1" w14:textId="77777777" w:rsidR="00EE6FFC" w:rsidRPr="00EE6FFC" w:rsidRDefault="00EE6FFC" w:rsidP="00487368"/>
          <w:p w14:paraId="27F64A33" w14:textId="77777777" w:rsidR="00EE6FFC" w:rsidRPr="00EE6FFC" w:rsidRDefault="00EE6FFC" w:rsidP="00487368"/>
          <w:p w14:paraId="673FE7F3" w14:textId="77777777" w:rsidR="00EE6FFC" w:rsidRPr="00EE6FFC" w:rsidRDefault="00EE6FFC" w:rsidP="00487368"/>
          <w:p w14:paraId="64533D3B" w14:textId="77777777" w:rsidR="00EE6FFC" w:rsidRPr="00EE6FFC" w:rsidRDefault="00EE6FFC" w:rsidP="00487368"/>
          <w:p w14:paraId="6ACCF11F" w14:textId="77777777" w:rsidR="00EE6FFC" w:rsidRPr="00EE6FFC" w:rsidRDefault="00EE6FFC" w:rsidP="00487368"/>
          <w:p w14:paraId="01E26A33" w14:textId="77777777" w:rsidR="00EE6FFC" w:rsidRPr="00EE6FFC" w:rsidRDefault="00EE6FFC" w:rsidP="00487368"/>
          <w:p w14:paraId="2D18661A" w14:textId="77777777" w:rsidR="00EE6FFC" w:rsidRPr="00EE6FFC" w:rsidRDefault="00EE6FFC" w:rsidP="00487368"/>
          <w:p w14:paraId="7167C1EA" w14:textId="77777777" w:rsidR="00EE6FFC" w:rsidRPr="00EE6FFC" w:rsidRDefault="00EE6FFC" w:rsidP="00487368"/>
          <w:p w14:paraId="3E91FB8F" w14:textId="77777777" w:rsidR="00EE6FFC" w:rsidRPr="00EE6FFC" w:rsidRDefault="00EE6FFC" w:rsidP="00487368"/>
          <w:p w14:paraId="36B77058" w14:textId="77777777" w:rsidR="00EE6FFC" w:rsidRPr="00EE6FFC" w:rsidRDefault="00EE6FFC" w:rsidP="00487368"/>
          <w:p w14:paraId="42B14E3A" w14:textId="77777777" w:rsidR="00EE6FFC" w:rsidRPr="00EE6FFC" w:rsidRDefault="00EE6FFC" w:rsidP="00487368"/>
          <w:p w14:paraId="191A6A07" w14:textId="77777777" w:rsidR="00EE6FFC" w:rsidRPr="00EE6FFC" w:rsidRDefault="00EE6FFC" w:rsidP="00487368"/>
          <w:p w14:paraId="47B372A8" w14:textId="77777777" w:rsidR="00EE6FFC" w:rsidRPr="00EE6FFC" w:rsidRDefault="00EE6FFC" w:rsidP="00487368"/>
          <w:p w14:paraId="740794A0" w14:textId="77777777" w:rsidR="00EE6FFC" w:rsidRPr="00EE6FFC" w:rsidRDefault="00EE6FFC" w:rsidP="00487368"/>
          <w:p w14:paraId="12E6EDC0" w14:textId="77777777" w:rsidR="00EE6FFC" w:rsidRPr="00EE6FFC" w:rsidRDefault="00EE6FFC" w:rsidP="00487368"/>
          <w:p w14:paraId="46E73DF1" w14:textId="77777777" w:rsidR="00EE6FFC" w:rsidRPr="00EE6FFC" w:rsidRDefault="00EE6FFC" w:rsidP="00487368"/>
          <w:p w14:paraId="28BCBBC4" w14:textId="77777777" w:rsidR="00EE6FFC" w:rsidRPr="00EE6FFC" w:rsidRDefault="00EE6FFC" w:rsidP="00487368"/>
          <w:p w14:paraId="14302A25" w14:textId="77777777" w:rsidR="00EE6FFC" w:rsidRPr="00EE6FFC" w:rsidRDefault="00EE6FFC" w:rsidP="00487368"/>
          <w:p w14:paraId="68D11B42" w14:textId="77777777" w:rsidR="00EE6FFC" w:rsidRPr="00EE6FFC" w:rsidRDefault="00EE6FFC" w:rsidP="00487368"/>
          <w:p w14:paraId="2A203FF9" w14:textId="77777777" w:rsidR="00EE6FFC" w:rsidRPr="00EE6FFC" w:rsidRDefault="00EE6FFC" w:rsidP="00487368"/>
          <w:p w14:paraId="4C6B6771" w14:textId="77777777" w:rsidR="00EE6FFC" w:rsidRPr="00EE6FFC" w:rsidRDefault="00EE6FFC" w:rsidP="00487368"/>
          <w:p w14:paraId="07C16477" w14:textId="77777777" w:rsidR="00EE6FFC" w:rsidRPr="00EE6FFC" w:rsidRDefault="00EE6FFC" w:rsidP="00487368"/>
          <w:p w14:paraId="784B8FB7" w14:textId="77777777" w:rsidR="00EE6FFC" w:rsidRPr="00EE6FFC" w:rsidRDefault="00EE6FFC" w:rsidP="00487368"/>
          <w:p w14:paraId="637A28B4" w14:textId="77777777" w:rsidR="00EE6FFC" w:rsidRPr="00EE6FFC" w:rsidRDefault="00EE6FFC" w:rsidP="00487368"/>
          <w:p w14:paraId="04CC528C" w14:textId="77777777" w:rsidR="00EE6FFC" w:rsidRPr="00EE6FFC" w:rsidRDefault="00EE6FFC" w:rsidP="00487368"/>
          <w:p w14:paraId="433F9479" w14:textId="77777777" w:rsidR="00EE6FFC" w:rsidRPr="00EE6FFC" w:rsidRDefault="00EE6FFC" w:rsidP="00487368"/>
          <w:p w14:paraId="360EFB9B" w14:textId="77777777" w:rsidR="00EE6FFC" w:rsidRPr="00EE6FFC" w:rsidRDefault="00EE6FFC" w:rsidP="00487368"/>
          <w:p w14:paraId="141BC9D0" w14:textId="77777777" w:rsidR="00EE6FFC" w:rsidRPr="00EE6FFC" w:rsidRDefault="00EE6FFC" w:rsidP="00487368"/>
          <w:p w14:paraId="430E9121" w14:textId="77777777" w:rsidR="00EE6FFC" w:rsidRPr="00EE6FFC" w:rsidRDefault="00EE6FFC" w:rsidP="00487368"/>
          <w:p w14:paraId="2C955F6E" w14:textId="77777777" w:rsidR="00EE6FFC" w:rsidRPr="00EE6FFC" w:rsidRDefault="00EE6FFC" w:rsidP="00487368"/>
          <w:p w14:paraId="74E82FAA" w14:textId="77777777" w:rsidR="00EE6FFC" w:rsidRPr="00EE6FFC" w:rsidRDefault="00EE6FFC" w:rsidP="00487368"/>
          <w:p w14:paraId="7302180B" w14:textId="77777777" w:rsidR="00EE6FFC" w:rsidRPr="00EE6FFC" w:rsidRDefault="00EE6FFC" w:rsidP="00487368"/>
          <w:p w14:paraId="5BE6422B" w14:textId="77777777" w:rsidR="00EE6FFC" w:rsidRPr="00EE6FFC" w:rsidRDefault="00EE6FFC" w:rsidP="00487368"/>
          <w:p w14:paraId="33D7A541" w14:textId="77777777" w:rsidR="00EE6FFC" w:rsidRPr="00EE6FFC" w:rsidRDefault="00EE6FFC" w:rsidP="00487368"/>
          <w:p w14:paraId="4F9F8A2B" w14:textId="77777777" w:rsidR="00EE6FFC" w:rsidRPr="00EE6FFC" w:rsidRDefault="00EE6FFC" w:rsidP="00487368"/>
          <w:p w14:paraId="10E99F3C" w14:textId="77777777" w:rsidR="00EE6FFC" w:rsidRPr="00EE6FFC" w:rsidRDefault="00EE6FFC" w:rsidP="00487368"/>
          <w:p w14:paraId="0B6BC5FD" w14:textId="77777777" w:rsidR="00EE6FFC" w:rsidRPr="00EE6FFC" w:rsidRDefault="00EE6FFC" w:rsidP="00487368"/>
          <w:p w14:paraId="00F8735E" w14:textId="77777777" w:rsidR="00EE6FFC" w:rsidRPr="00EE6FFC" w:rsidRDefault="00EE6FFC" w:rsidP="00487368"/>
          <w:p w14:paraId="6AE2D978" w14:textId="77777777" w:rsidR="00EE6FFC" w:rsidRPr="00EE6FFC" w:rsidRDefault="00EE6FFC" w:rsidP="00487368"/>
          <w:p w14:paraId="58487E96" w14:textId="77777777" w:rsidR="00EE6FFC" w:rsidRPr="00EE6FFC" w:rsidRDefault="00EE6FFC" w:rsidP="00487368"/>
          <w:p w14:paraId="1079FC79" w14:textId="77777777" w:rsidR="00EE6FFC" w:rsidRPr="00EE6FFC" w:rsidRDefault="00EE6FFC" w:rsidP="00487368"/>
          <w:p w14:paraId="1EE2D134" w14:textId="77777777" w:rsidR="00EE6FFC" w:rsidRPr="00EE6FFC" w:rsidRDefault="00EE6FFC" w:rsidP="00487368">
            <w:r w:rsidRPr="00EE6FFC">
              <w:t>Članak 8.</w:t>
            </w:r>
          </w:p>
          <w:p w14:paraId="22F6A08B" w14:textId="77777777" w:rsidR="00EE6FFC" w:rsidRPr="00EE6FFC" w:rsidRDefault="00EE6FFC" w:rsidP="00487368"/>
          <w:p w14:paraId="594D4032" w14:textId="77777777" w:rsidR="00EE6FFC" w:rsidRPr="00EE6FFC" w:rsidRDefault="00EE6FFC" w:rsidP="00487368"/>
          <w:p w14:paraId="5DD25FBD" w14:textId="77777777" w:rsidR="00EE6FFC" w:rsidRPr="00EE6FFC" w:rsidRDefault="00EE6FFC" w:rsidP="00487368"/>
          <w:p w14:paraId="7387752A" w14:textId="77777777" w:rsidR="00EE6FFC" w:rsidRPr="00EE6FFC" w:rsidRDefault="00EE6FFC" w:rsidP="00487368"/>
          <w:p w14:paraId="50605837" w14:textId="77777777" w:rsidR="00EE6FFC" w:rsidRPr="00EE6FFC" w:rsidRDefault="00EE6FFC" w:rsidP="00487368"/>
          <w:p w14:paraId="7AD67AB0" w14:textId="77777777" w:rsidR="00EE6FFC" w:rsidRPr="00EE6FFC" w:rsidRDefault="00EE6FFC" w:rsidP="00487368"/>
          <w:p w14:paraId="1E57A096" w14:textId="77777777" w:rsidR="00EE6FFC" w:rsidRPr="00EE6FFC" w:rsidRDefault="00EE6FFC" w:rsidP="00487368"/>
          <w:p w14:paraId="176DE869" w14:textId="77777777" w:rsidR="00EE6FFC" w:rsidRPr="00EE6FFC" w:rsidRDefault="00EE6FFC" w:rsidP="00487368"/>
          <w:p w14:paraId="4F57F6FE" w14:textId="77777777" w:rsidR="00EE6FFC" w:rsidRPr="00EE6FFC" w:rsidRDefault="00EE6FFC" w:rsidP="00487368"/>
          <w:p w14:paraId="52D4C861" w14:textId="77777777" w:rsidR="00EE6FFC" w:rsidRPr="00EE6FFC" w:rsidRDefault="00EE6FFC" w:rsidP="00487368"/>
          <w:p w14:paraId="5C70DB51" w14:textId="77777777" w:rsidR="00EE6FFC" w:rsidRPr="00EE6FFC" w:rsidRDefault="00EE6FFC" w:rsidP="00487368"/>
          <w:p w14:paraId="768D8125" w14:textId="77777777" w:rsidR="00EE6FFC" w:rsidRPr="00EE6FFC" w:rsidRDefault="00EE6FFC" w:rsidP="00487368"/>
          <w:p w14:paraId="7C31E6D3" w14:textId="77777777" w:rsidR="00EE6FFC" w:rsidRPr="00EE6FFC" w:rsidRDefault="00EE6FFC" w:rsidP="00487368"/>
          <w:p w14:paraId="0E373ADB" w14:textId="77777777" w:rsidR="00EE6FFC" w:rsidRPr="00EE6FFC" w:rsidRDefault="00EE6FFC" w:rsidP="00487368"/>
          <w:p w14:paraId="74EAFEC1" w14:textId="77777777" w:rsidR="00EE6FFC" w:rsidRPr="00EE6FFC" w:rsidRDefault="00EE6FFC" w:rsidP="00487368"/>
          <w:p w14:paraId="7B2D0428" w14:textId="77777777" w:rsidR="00EE6FFC" w:rsidRPr="00EE6FFC" w:rsidRDefault="00EE6FFC" w:rsidP="00487368"/>
          <w:p w14:paraId="30742F07" w14:textId="77777777" w:rsidR="00EE6FFC" w:rsidRPr="00EE6FFC" w:rsidRDefault="00EE6FFC" w:rsidP="00487368"/>
          <w:p w14:paraId="620CD836" w14:textId="77777777" w:rsidR="00EE6FFC" w:rsidRPr="00EE6FFC" w:rsidRDefault="00EE6FFC" w:rsidP="00487368"/>
          <w:p w14:paraId="3082D758" w14:textId="77777777" w:rsidR="00EE6FFC" w:rsidRPr="00EE6FFC" w:rsidRDefault="00EE6FFC" w:rsidP="00487368"/>
          <w:p w14:paraId="68DD3156" w14:textId="77777777" w:rsidR="00EE6FFC" w:rsidRPr="00EE6FFC" w:rsidRDefault="00EE6FFC" w:rsidP="00487368"/>
          <w:p w14:paraId="79610180" w14:textId="77777777" w:rsidR="00EE6FFC" w:rsidRPr="00EE6FFC" w:rsidRDefault="00EE6FFC" w:rsidP="00487368"/>
          <w:p w14:paraId="67DAFB64" w14:textId="77777777" w:rsidR="00EE6FFC" w:rsidRPr="00EE6FFC" w:rsidRDefault="00EE6FFC" w:rsidP="00487368"/>
          <w:p w14:paraId="1681B720" w14:textId="77777777" w:rsidR="00EE6FFC" w:rsidRPr="00EE6FFC" w:rsidRDefault="00EE6FFC" w:rsidP="00487368"/>
          <w:p w14:paraId="033F1D5A" w14:textId="77777777" w:rsidR="00EE6FFC" w:rsidRPr="00EE6FFC" w:rsidRDefault="00EE6FFC" w:rsidP="00487368"/>
          <w:p w14:paraId="1FE6F090" w14:textId="77777777" w:rsidR="00EE6FFC" w:rsidRPr="00EE6FFC" w:rsidRDefault="00EE6FFC" w:rsidP="00487368"/>
          <w:p w14:paraId="2DB8D7DC" w14:textId="77777777" w:rsidR="00EE6FFC" w:rsidRPr="00EE6FFC" w:rsidRDefault="00EE6FFC" w:rsidP="00487368"/>
          <w:p w14:paraId="0BAB5DCB" w14:textId="77777777" w:rsidR="00EE6FFC" w:rsidRPr="00EE6FFC" w:rsidRDefault="00EE6FFC" w:rsidP="00487368"/>
          <w:p w14:paraId="726BCEE8" w14:textId="77777777" w:rsidR="00EE6FFC" w:rsidRPr="00EE6FFC" w:rsidRDefault="00EE6FFC" w:rsidP="00487368"/>
          <w:p w14:paraId="33324E73" w14:textId="77777777" w:rsidR="00EE6FFC" w:rsidRPr="00EE6FFC" w:rsidRDefault="00EE6FFC" w:rsidP="00487368"/>
          <w:p w14:paraId="71D59A22" w14:textId="77777777" w:rsidR="00EE6FFC" w:rsidRPr="00EE6FFC" w:rsidRDefault="00EE6FFC" w:rsidP="00487368"/>
          <w:p w14:paraId="15A4C9B0" w14:textId="77777777" w:rsidR="00EE6FFC" w:rsidRPr="00EE6FFC" w:rsidRDefault="00EE6FFC" w:rsidP="00487368"/>
          <w:p w14:paraId="6614E794" w14:textId="77777777" w:rsidR="00EE6FFC" w:rsidRPr="00EE6FFC" w:rsidRDefault="00EE6FFC" w:rsidP="00487368"/>
          <w:p w14:paraId="1B400EED" w14:textId="77777777" w:rsidR="00EE6FFC" w:rsidRPr="00EE6FFC" w:rsidRDefault="00EE6FFC" w:rsidP="00487368"/>
          <w:p w14:paraId="4896ADDD" w14:textId="77777777" w:rsidR="00EE6FFC" w:rsidRPr="00EE6FFC" w:rsidRDefault="00EE6FFC" w:rsidP="00487368"/>
          <w:p w14:paraId="1C175040" w14:textId="77777777" w:rsidR="00EE6FFC" w:rsidRPr="00EE6FFC" w:rsidRDefault="00EE6FFC" w:rsidP="00487368"/>
          <w:p w14:paraId="3533E7E6" w14:textId="77777777" w:rsidR="00EE6FFC" w:rsidRPr="00EE6FFC" w:rsidRDefault="00EE6FFC" w:rsidP="00487368"/>
          <w:p w14:paraId="70C909EE" w14:textId="77777777" w:rsidR="00EE6FFC" w:rsidRPr="00EE6FFC" w:rsidRDefault="00EE6FFC" w:rsidP="00487368"/>
          <w:p w14:paraId="653122A4" w14:textId="77777777" w:rsidR="00EE6FFC" w:rsidRPr="00EE6FFC" w:rsidRDefault="00EE6FFC" w:rsidP="00487368"/>
          <w:p w14:paraId="2111FD32" w14:textId="77777777" w:rsidR="00EE6FFC" w:rsidRPr="00EE6FFC" w:rsidRDefault="00EE6FFC" w:rsidP="00487368"/>
          <w:p w14:paraId="756177F3" w14:textId="77777777" w:rsidR="00EE6FFC" w:rsidRPr="00EE6FFC" w:rsidRDefault="00EE6FFC" w:rsidP="00487368"/>
          <w:p w14:paraId="3924B1F3" w14:textId="77777777" w:rsidR="00EE6FFC" w:rsidRPr="00EE6FFC" w:rsidRDefault="00EE6FFC" w:rsidP="00487368"/>
          <w:p w14:paraId="4D3DB815" w14:textId="77777777" w:rsidR="00EE6FFC" w:rsidRPr="00EE6FFC" w:rsidRDefault="00EE6FFC" w:rsidP="00487368"/>
          <w:p w14:paraId="4E24479E" w14:textId="77777777" w:rsidR="00EE6FFC" w:rsidRPr="00EE6FFC" w:rsidRDefault="00EE6FFC" w:rsidP="00487368"/>
          <w:p w14:paraId="01E3C1F6" w14:textId="77777777" w:rsidR="00EE6FFC" w:rsidRPr="00EE6FFC" w:rsidRDefault="00EE6FFC" w:rsidP="00487368"/>
          <w:p w14:paraId="78DDDDA1" w14:textId="77777777" w:rsidR="00EE6FFC" w:rsidRPr="00EE6FFC" w:rsidRDefault="00EE6FFC" w:rsidP="00487368"/>
          <w:p w14:paraId="0FE7BB3E" w14:textId="77777777" w:rsidR="00EE6FFC" w:rsidRPr="00EE6FFC" w:rsidRDefault="00EE6FFC" w:rsidP="00487368"/>
          <w:p w14:paraId="4AD640A8" w14:textId="77777777" w:rsidR="00EE6FFC" w:rsidRPr="00EE6FFC" w:rsidRDefault="00EE6FFC" w:rsidP="00487368"/>
          <w:p w14:paraId="4DCA9A21" w14:textId="77777777" w:rsidR="00EE6FFC" w:rsidRPr="00EE6FFC" w:rsidRDefault="00EE6FFC" w:rsidP="00487368"/>
          <w:p w14:paraId="23E8EFE9" w14:textId="77777777" w:rsidR="00EE6FFC" w:rsidRPr="00EE6FFC" w:rsidRDefault="00EE6FFC" w:rsidP="00487368"/>
          <w:p w14:paraId="0D3BC97B" w14:textId="77777777" w:rsidR="00EE6FFC" w:rsidRPr="00EE6FFC" w:rsidRDefault="00EE6FFC" w:rsidP="00487368"/>
          <w:p w14:paraId="154244DC" w14:textId="77777777" w:rsidR="00EE6FFC" w:rsidRPr="00EE6FFC" w:rsidRDefault="00EE6FFC" w:rsidP="00487368"/>
          <w:p w14:paraId="1C1F946B" w14:textId="77777777" w:rsidR="00EE6FFC" w:rsidRPr="00EE6FFC" w:rsidRDefault="00EE6FFC" w:rsidP="00487368"/>
          <w:p w14:paraId="0AF75732" w14:textId="77777777" w:rsidR="00EE6FFC" w:rsidRPr="00EE6FFC" w:rsidRDefault="00EE6FFC" w:rsidP="00487368"/>
          <w:p w14:paraId="115216B2" w14:textId="77777777" w:rsidR="00EE6FFC" w:rsidRPr="00EE6FFC" w:rsidRDefault="00EE6FFC" w:rsidP="00487368"/>
          <w:p w14:paraId="6EB0387B" w14:textId="77777777" w:rsidR="00EE6FFC" w:rsidRPr="00EE6FFC" w:rsidRDefault="00EE6FFC" w:rsidP="00487368"/>
          <w:p w14:paraId="666E8924" w14:textId="77777777" w:rsidR="00EE6FFC" w:rsidRPr="00EE6FFC" w:rsidRDefault="00EE6FFC" w:rsidP="00487368"/>
          <w:p w14:paraId="6A84DFE5" w14:textId="77777777" w:rsidR="00EE6FFC" w:rsidRPr="00EE6FFC" w:rsidRDefault="00EE6FFC" w:rsidP="00487368"/>
          <w:p w14:paraId="1B994BC4" w14:textId="77777777" w:rsidR="00EE6FFC" w:rsidRPr="00EE6FFC" w:rsidRDefault="00EE6FFC" w:rsidP="00487368"/>
          <w:p w14:paraId="056BCB29" w14:textId="77777777" w:rsidR="00EE6FFC" w:rsidRPr="00EE6FFC" w:rsidRDefault="00EE6FFC" w:rsidP="00487368"/>
          <w:p w14:paraId="0AD50E8C" w14:textId="77777777" w:rsidR="00EE6FFC" w:rsidRPr="00EE6FFC" w:rsidRDefault="00EE6FFC" w:rsidP="00487368"/>
          <w:p w14:paraId="33F8F23A" w14:textId="77777777" w:rsidR="00EE6FFC" w:rsidRPr="00EE6FFC" w:rsidRDefault="00EE6FFC" w:rsidP="00487368"/>
          <w:p w14:paraId="4A06B2AE" w14:textId="77777777" w:rsidR="00EE6FFC" w:rsidRPr="00EE6FFC" w:rsidRDefault="00EE6FFC" w:rsidP="00487368"/>
          <w:p w14:paraId="1F710F5C" w14:textId="77777777" w:rsidR="00EE6FFC" w:rsidRPr="00EE6FFC" w:rsidRDefault="00EE6FFC" w:rsidP="00487368"/>
          <w:p w14:paraId="3EEAEFBD" w14:textId="77777777" w:rsidR="00EE6FFC" w:rsidRPr="00EE6FFC" w:rsidRDefault="00EE6FFC" w:rsidP="00487368"/>
          <w:p w14:paraId="3FB960D8" w14:textId="77777777" w:rsidR="00EE6FFC" w:rsidRPr="00EE6FFC" w:rsidRDefault="00EE6FFC" w:rsidP="00487368"/>
          <w:p w14:paraId="3592DCC0" w14:textId="77777777" w:rsidR="00EE6FFC" w:rsidRPr="00EE6FFC" w:rsidRDefault="00EE6FFC" w:rsidP="00487368"/>
          <w:p w14:paraId="477A32D2" w14:textId="77777777" w:rsidR="00EE6FFC" w:rsidRPr="00EE6FFC" w:rsidRDefault="00EE6FFC" w:rsidP="00487368"/>
          <w:p w14:paraId="328ECB86" w14:textId="77777777" w:rsidR="00EE6FFC" w:rsidRPr="00EE6FFC" w:rsidRDefault="00EE6FFC" w:rsidP="00487368"/>
          <w:p w14:paraId="69D276BB" w14:textId="77777777" w:rsidR="00EE6FFC" w:rsidRPr="00EE6FFC" w:rsidRDefault="00EE6FFC" w:rsidP="00487368"/>
          <w:p w14:paraId="0F797891" w14:textId="77777777" w:rsidR="00EE6FFC" w:rsidRPr="00EE6FFC" w:rsidRDefault="00EE6FFC" w:rsidP="00487368"/>
          <w:p w14:paraId="6D6A28A6" w14:textId="77777777" w:rsidR="00EE6FFC" w:rsidRPr="00EE6FFC" w:rsidRDefault="00EE6FFC" w:rsidP="00487368"/>
          <w:p w14:paraId="36BF1814" w14:textId="77777777" w:rsidR="00EE6FFC" w:rsidRPr="00EE6FFC" w:rsidRDefault="00EE6FFC" w:rsidP="00487368"/>
          <w:p w14:paraId="4157BB2A" w14:textId="77777777" w:rsidR="00EE6FFC" w:rsidRPr="00EE6FFC" w:rsidRDefault="00EE6FFC" w:rsidP="00487368"/>
          <w:p w14:paraId="5F90BEF8" w14:textId="77777777" w:rsidR="00EE6FFC" w:rsidRPr="00EE6FFC" w:rsidRDefault="00EE6FFC" w:rsidP="00487368"/>
          <w:p w14:paraId="12736813" w14:textId="77777777" w:rsidR="00EE6FFC" w:rsidRPr="00EE6FFC" w:rsidRDefault="00EE6FFC" w:rsidP="00487368"/>
          <w:p w14:paraId="0644468B" w14:textId="77777777" w:rsidR="00EE6FFC" w:rsidRPr="00EE6FFC" w:rsidRDefault="00EE6FFC" w:rsidP="00487368"/>
          <w:p w14:paraId="7F960D66" w14:textId="77777777" w:rsidR="00EE6FFC" w:rsidRPr="00EE6FFC" w:rsidRDefault="00EE6FFC" w:rsidP="00487368"/>
          <w:p w14:paraId="4E46339A" w14:textId="77777777" w:rsidR="00EE6FFC" w:rsidRPr="00EE6FFC" w:rsidRDefault="00EE6FFC" w:rsidP="00487368"/>
          <w:p w14:paraId="246CDAB3" w14:textId="77777777" w:rsidR="00EE6FFC" w:rsidRPr="00EE6FFC" w:rsidRDefault="00EE6FFC" w:rsidP="00487368"/>
          <w:p w14:paraId="75136426" w14:textId="77777777" w:rsidR="00EE6FFC" w:rsidRPr="00EE6FFC" w:rsidRDefault="00EE6FFC" w:rsidP="00487368"/>
          <w:p w14:paraId="10C4474E" w14:textId="77777777" w:rsidR="00EE6FFC" w:rsidRPr="00EE6FFC" w:rsidRDefault="00EE6FFC" w:rsidP="00487368"/>
          <w:p w14:paraId="1C85DBA5" w14:textId="77777777" w:rsidR="00EE6FFC" w:rsidRPr="00EE6FFC" w:rsidRDefault="00EE6FFC" w:rsidP="00487368"/>
          <w:p w14:paraId="2280487C" w14:textId="77777777" w:rsidR="00EE6FFC" w:rsidRPr="00EE6FFC" w:rsidRDefault="00EE6FFC" w:rsidP="00487368"/>
          <w:p w14:paraId="21810EA7" w14:textId="77777777" w:rsidR="00EE6FFC" w:rsidRPr="00EE6FFC" w:rsidRDefault="00EE6FFC" w:rsidP="00487368"/>
          <w:p w14:paraId="191B4C78" w14:textId="77777777" w:rsidR="00EE6FFC" w:rsidRPr="00EE6FFC" w:rsidRDefault="00EE6FFC" w:rsidP="00487368"/>
          <w:p w14:paraId="1754A536" w14:textId="77777777" w:rsidR="00EE6FFC" w:rsidRPr="00EE6FFC" w:rsidRDefault="00EE6FFC" w:rsidP="00487368"/>
          <w:p w14:paraId="5A4D11E2" w14:textId="77777777" w:rsidR="00EE6FFC" w:rsidRPr="00EE6FFC" w:rsidRDefault="00EE6FFC" w:rsidP="00487368">
            <w:r w:rsidRPr="00EE6FFC">
              <w:t>Članak 9.</w:t>
            </w:r>
          </w:p>
          <w:p w14:paraId="66FDD0BA" w14:textId="77777777" w:rsidR="00EE6FFC" w:rsidRPr="00EE6FFC" w:rsidRDefault="00EE6FFC" w:rsidP="00487368"/>
          <w:p w14:paraId="77D0C94D" w14:textId="77777777" w:rsidR="00EE6FFC" w:rsidRPr="00EE6FFC" w:rsidRDefault="00EE6FFC" w:rsidP="00487368"/>
          <w:p w14:paraId="42F543E4" w14:textId="77777777" w:rsidR="00EE6FFC" w:rsidRPr="00EE6FFC" w:rsidRDefault="00EE6FFC" w:rsidP="00487368"/>
          <w:p w14:paraId="1526BFF7" w14:textId="77777777" w:rsidR="00EE6FFC" w:rsidRPr="00EE6FFC" w:rsidRDefault="00EE6FFC" w:rsidP="00487368"/>
          <w:p w14:paraId="14081D14" w14:textId="77777777" w:rsidR="00EE6FFC" w:rsidRPr="00EE6FFC" w:rsidRDefault="00EE6FFC" w:rsidP="00487368"/>
          <w:p w14:paraId="1DA969DD" w14:textId="77777777" w:rsidR="00EE6FFC" w:rsidRPr="00EE6FFC" w:rsidRDefault="00EE6FFC" w:rsidP="00487368"/>
          <w:p w14:paraId="7DC1ACF6" w14:textId="77777777" w:rsidR="00EE6FFC" w:rsidRPr="00EE6FFC" w:rsidRDefault="00EE6FFC" w:rsidP="00487368"/>
          <w:p w14:paraId="70B820BF" w14:textId="77777777" w:rsidR="00EE6FFC" w:rsidRPr="00EE6FFC" w:rsidRDefault="00EE6FFC" w:rsidP="00487368"/>
          <w:p w14:paraId="73DA1A88" w14:textId="77777777" w:rsidR="00EE6FFC" w:rsidRPr="00EE6FFC" w:rsidRDefault="00EE6FFC" w:rsidP="00487368"/>
          <w:p w14:paraId="4E8D1A9B" w14:textId="77777777" w:rsidR="00EE6FFC" w:rsidRPr="00EE6FFC" w:rsidRDefault="00EE6FFC" w:rsidP="00487368">
            <w:r w:rsidRPr="00EE6FFC">
              <w:t>Članak 19.</w:t>
            </w:r>
          </w:p>
          <w:p w14:paraId="0F32C7B9" w14:textId="77777777" w:rsidR="00EE6FFC" w:rsidRPr="00EE6FFC" w:rsidRDefault="00EE6FFC" w:rsidP="00487368"/>
          <w:p w14:paraId="6053A777" w14:textId="77777777" w:rsidR="00EE6FFC" w:rsidRPr="00EE6FFC" w:rsidRDefault="00EE6FFC" w:rsidP="00487368"/>
          <w:p w14:paraId="02951A48" w14:textId="77777777" w:rsidR="00EE6FFC" w:rsidRPr="00EE6FFC" w:rsidRDefault="00EE6FFC" w:rsidP="00487368"/>
          <w:p w14:paraId="6F42B9C0" w14:textId="77777777" w:rsidR="00EE6FFC" w:rsidRPr="00EE6FFC" w:rsidRDefault="00EE6FFC" w:rsidP="00487368"/>
          <w:p w14:paraId="4E277BE8" w14:textId="77777777" w:rsidR="00EE6FFC" w:rsidRPr="00EE6FFC" w:rsidRDefault="00EE6FFC" w:rsidP="00487368"/>
          <w:p w14:paraId="554CE82C" w14:textId="77777777" w:rsidR="00EE6FFC" w:rsidRPr="00EE6FFC" w:rsidRDefault="00EE6FFC" w:rsidP="00487368"/>
          <w:p w14:paraId="2FCBC15F" w14:textId="77777777" w:rsidR="00EE6FFC" w:rsidRPr="00EE6FFC" w:rsidRDefault="00EE6FFC" w:rsidP="00487368"/>
          <w:p w14:paraId="6D64E417" w14:textId="77777777" w:rsidR="00EE6FFC" w:rsidRPr="00EE6FFC" w:rsidRDefault="00EE6FFC" w:rsidP="00487368"/>
          <w:p w14:paraId="5CDD95C4" w14:textId="77777777" w:rsidR="00EE6FFC" w:rsidRPr="00EE6FFC" w:rsidRDefault="00EE6FFC" w:rsidP="00487368"/>
          <w:p w14:paraId="6E2E979E" w14:textId="77777777" w:rsidR="00EE6FFC" w:rsidRPr="00EE6FFC" w:rsidRDefault="00EE6FFC" w:rsidP="00487368"/>
          <w:p w14:paraId="76D8D448" w14:textId="77777777" w:rsidR="00EE6FFC" w:rsidRPr="00EE6FFC" w:rsidRDefault="00EE6FFC" w:rsidP="00487368"/>
          <w:p w14:paraId="0C1B8A22" w14:textId="77777777" w:rsidR="00EE6FFC" w:rsidRPr="00EE6FFC" w:rsidRDefault="00EE6FFC" w:rsidP="00487368"/>
          <w:p w14:paraId="63D61233" w14:textId="77777777" w:rsidR="00EE6FFC" w:rsidRPr="00EE6FFC" w:rsidRDefault="00EE6FFC" w:rsidP="00487368"/>
          <w:p w14:paraId="5B78EEF8" w14:textId="77777777" w:rsidR="00EE6FFC" w:rsidRPr="00EE6FFC" w:rsidRDefault="00EE6FFC" w:rsidP="00487368"/>
          <w:p w14:paraId="188168F1" w14:textId="77777777" w:rsidR="00EE6FFC" w:rsidRPr="00EE6FFC" w:rsidRDefault="00EE6FFC" w:rsidP="00487368"/>
          <w:p w14:paraId="1C041E44" w14:textId="77777777" w:rsidR="00EE6FFC" w:rsidRPr="00EE6FFC" w:rsidRDefault="00EE6FFC" w:rsidP="00487368"/>
          <w:p w14:paraId="46FC7196" w14:textId="77777777" w:rsidR="00EE6FFC" w:rsidRPr="00EE6FFC" w:rsidRDefault="00EE6FFC" w:rsidP="00487368"/>
          <w:p w14:paraId="1EAA1B55" w14:textId="77777777" w:rsidR="00EE6FFC" w:rsidRPr="00EE6FFC" w:rsidRDefault="00EE6FFC" w:rsidP="00487368"/>
          <w:p w14:paraId="09005187" w14:textId="77777777" w:rsidR="00EE6FFC" w:rsidRPr="00EE6FFC" w:rsidRDefault="00EE6FFC" w:rsidP="00487368"/>
          <w:p w14:paraId="148659DB" w14:textId="77777777" w:rsidR="00EE6FFC" w:rsidRPr="00EE6FFC" w:rsidRDefault="00EE6FFC" w:rsidP="00487368"/>
          <w:p w14:paraId="709D5BE7" w14:textId="77777777" w:rsidR="00EE6FFC" w:rsidRPr="00EE6FFC" w:rsidRDefault="00EE6FFC" w:rsidP="00487368"/>
          <w:p w14:paraId="0A4B1304" w14:textId="77777777" w:rsidR="00EE6FFC" w:rsidRPr="00EE6FFC" w:rsidRDefault="00EE6FFC" w:rsidP="00487368"/>
          <w:p w14:paraId="17939FA5" w14:textId="77777777" w:rsidR="00EE6FFC" w:rsidRPr="00EE6FFC" w:rsidRDefault="00EE6FFC" w:rsidP="00487368"/>
          <w:p w14:paraId="26B28499" w14:textId="77777777" w:rsidR="00EE6FFC" w:rsidRPr="00EE6FFC" w:rsidRDefault="00EE6FFC" w:rsidP="00487368"/>
          <w:p w14:paraId="6AC92F04" w14:textId="77777777" w:rsidR="00EE6FFC" w:rsidRPr="00EE6FFC" w:rsidRDefault="00EE6FFC" w:rsidP="00487368"/>
          <w:p w14:paraId="611161D5" w14:textId="77777777" w:rsidR="00EE6FFC" w:rsidRPr="00EE6FFC" w:rsidRDefault="00EE6FFC" w:rsidP="00487368"/>
          <w:p w14:paraId="0D5CA78A" w14:textId="77777777" w:rsidR="00EE6FFC" w:rsidRPr="00EE6FFC" w:rsidRDefault="00EE6FFC" w:rsidP="00487368"/>
          <w:p w14:paraId="6AD0F607" w14:textId="77777777" w:rsidR="00EE6FFC" w:rsidRPr="00EE6FFC" w:rsidRDefault="00EE6FFC" w:rsidP="00487368"/>
          <w:p w14:paraId="318A40D8" w14:textId="77777777" w:rsidR="00EE6FFC" w:rsidRPr="00EE6FFC" w:rsidRDefault="00EE6FFC" w:rsidP="00487368"/>
          <w:p w14:paraId="65189D99" w14:textId="77777777" w:rsidR="00EE6FFC" w:rsidRPr="00EE6FFC" w:rsidRDefault="00EE6FFC" w:rsidP="00487368"/>
          <w:p w14:paraId="77697F51" w14:textId="77777777" w:rsidR="00EE6FFC" w:rsidRPr="00EE6FFC" w:rsidRDefault="00EE6FFC" w:rsidP="00487368"/>
          <w:p w14:paraId="1084091B" w14:textId="77777777" w:rsidR="00EE6FFC" w:rsidRPr="00EE6FFC" w:rsidRDefault="00EE6FFC" w:rsidP="00487368"/>
          <w:p w14:paraId="1680CE90" w14:textId="77777777" w:rsidR="00EE6FFC" w:rsidRPr="00EE6FFC" w:rsidRDefault="00EE6FFC" w:rsidP="00487368"/>
          <w:p w14:paraId="061DD4FE" w14:textId="77777777" w:rsidR="00EE6FFC" w:rsidRPr="00EE6FFC" w:rsidRDefault="00EE6FFC" w:rsidP="00487368"/>
          <w:p w14:paraId="05BAF412" w14:textId="77777777" w:rsidR="00EE6FFC" w:rsidRPr="00EE6FFC" w:rsidRDefault="00EE6FFC" w:rsidP="00487368"/>
          <w:p w14:paraId="4B15E8DB" w14:textId="77777777" w:rsidR="00EE6FFC" w:rsidRPr="00EE6FFC" w:rsidRDefault="00EE6FFC" w:rsidP="00487368"/>
          <w:p w14:paraId="7D1FC43D" w14:textId="77777777" w:rsidR="00EE6FFC" w:rsidRPr="00EE6FFC" w:rsidRDefault="00EE6FFC" w:rsidP="00487368"/>
          <w:p w14:paraId="4B91EF15" w14:textId="77777777" w:rsidR="00EE6FFC" w:rsidRDefault="00EE6FFC" w:rsidP="00487368"/>
          <w:p w14:paraId="33F295B7" w14:textId="77777777" w:rsidR="00EE6FFC" w:rsidRDefault="00EE6FFC" w:rsidP="00487368"/>
          <w:p w14:paraId="7DDBDA60" w14:textId="77777777" w:rsidR="00EE6FFC" w:rsidRDefault="00EE6FFC" w:rsidP="00487368"/>
          <w:p w14:paraId="4993110D" w14:textId="77777777" w:rsidR="00EE6FFC" w:rsidRDefault="00EE6FFC" w:rsidP="00487368"/>
          <w:p w14:paraId="288ADE17" w14:textId="77777777" w:rsidR="00EE6FFC" w:rsidRDefault="00EE6FFC" w:rsidP="00487368"/>
          <w:p w14:paraId="55B8168C" w14:textId="77777777" w:rsidR="00EE6FFC" w:rsidRDefault="00EE6FFC" w:rsidP="00487368"/>
          <w:p w14:paraId="1ABF7991" w14:textId="77777777" w:rsidR="00EE6FFC" w:rsidRDefault="00EE6FFC" w:rsidP="00487368"/>
          <w:p w14:paraId="36A4E011" w14:textId="77777777" w:rsidR="00EE6FFC" w:rsidRDefault="00EE6FFC" w:rsidP="00487368"/>
          <w:p w14:paraId="5C54D415" w14:textId="77777777" w:rsidR="0010210A" w:rsidRDefault="0010210A" w:rsidP="00487368"/>
          <w:p w14:paraId="10C22EC5" w14:textId="663A0EC0" w:rsidR="00EE6FFC" w:rsidRPr="00EE6FFC" w:rsidRDefault="00EE6FFC" w:rsidP="00487368">
            <w:r w:rsidRPr="00EE6FFC">
              <w:t>Članak 24.</w:t>
            </w:r>
          </w:p>
        </w:tc>
        <w:tc>
          <w:tcPr>
            <w:tcW w:w="3402" w:type="dxa"/>
          </w:tcPr>
          <w:p w14:paraId="43501DAF" w14:textId="58DD2C36" w:rsidR="00E6217B" w:rsidRDefault="00E6217B" w:rsidP="001E76D7">
            <w:pPr>
              <w:pStyle w:val="Standard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Članovi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pozdravljaju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omogućavanje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sudjelovanja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javnosti</w:t>
            </w:r>
            <w:proofErr w:type="spellEnd"/>
            <w:r>
              <w:rPr>
                <w:color w:val="000000"/>
              </w:rPr>
              <w:t xml:space="preserve"> u </w:t>
            </w:r>
            <w:proofErr w:type="spellStart"/>
            <w:r>
              <w:rPr>
                <w:color w:val="000000"/>
              </w:rPr>
              <w:t>internetskom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savjetovanju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predmetnom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Nacrtu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napomenu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kako</w:t>
            </w:r>
            <w:proofErr w:type="spellEnd"/>
            <w:r>
              <w:rPr>
                <w:color w:val="000000"/>
              </w:rPr>
              <w:t xml:space="preserve"> bi </w:t>
            </w:r>
            <w:proofErr w:type="spellStart"/>
            <w:r>
              <w:rPr>
                <w:color w:val="000000"/>
              </w:rPr>
              <w:t>isto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slijedeći</w:t>
            </w:r>
            <w:proofErr w:type="spellEnd"/>
            <w:r>
              <w:rPr>
                <w:color w:val="000000"/>
              </w:rPr>
              <w:t xml:space="preserve"> put </w:t>
            </w:r>
            <w:proofErr w:type="spellStart"/>
            <w:r>
              <w:rPr>
                <w:color w:val="000000"/>
              </w:rPr>
              <w:t>bilo</w:t>
            </w:r>
            <w:proofErr w:type="spellEnd"/>
            <w:r>
              <w:rPr>
                <w:color w:val="000000"/>
              </w:rPr>
              <w:t xml:space="preserve"> dobro </w:t>
            </w:r>
            <w:proofErr w:type="spellStart"/>
            <w:r>
              <w:rPr>
                <w:color w:val="000000"/>
              </w:rPr>
              <w:t>organizirati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putem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savjetovanja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što</w:t>
            </w:r>
            <w:proofErr w:type="spellEnd"/>
            <w:r>
              <w:rPr>
                <w:color w:val="000000"/>
              </w:rPr>
              <w:t xml:space="preserve"> bi </w:t>
            </w:r>
            <w:proofErr w:type="spellStart"/>
            <w:r>
              <w:rPr>
                <w:color w:val="000000"/>
              </w:rPr>
              <w:t>omogućilo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sudjelovanje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većeg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broja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zainetersiranih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doprinijelo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kvaliteti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Pravilnika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382038C9" w14:textId="659BD542" w:rsidR="00912B47" w:rsidRPr="00EE6FFC" w:rsidRDefault="001E76D7" w:rsidP="001E76D7">
            <w:pPr>
              <w:pStyle w:val="StandardWeb"/>
              <w:rPr>
                <w:color w:val="000000"/>
              </w:rPr>
            </w:pPr>
            <w:proofErr w:type="spellStart"/>
            <w:r w:rsidRPr="00EE6FFC">
              <w:rPr>
                <w:color w:val="000000"/>
              </w:rPr>
              <w:t>Koristimo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ovu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priliku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podsjetiti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kako</w:t>
            </w:r>
            <w:proofErr w:type="spellEnd"/>
            <w:r w:rsidRPr="00EE6FFC">
              <w:rPr>
                <w:color w:val="000000"/>
              </w:rPr>
              <w:t xml:space="preserve"> je dana 27.10.2023. u FZOEU </w:t>
            </w:r>
            <w:proofErr w:type="spellStart"/>
            <w:r w:rsidRPr="00EE6FFC">
              <w:rPr>
                <w:color w:val="000000"/>
              </w:rPr>
              <w:t>održan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sastanak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predstavnika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Zelenog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foruma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gramStart"/>
            <w:r w:rsidRPr="00EE6FFC">
              <w:rPr>
                <w:color w:val="000000"/>
              </w:rPr>
              <w:t xml:space="preserve">( </w:t>
            </w:r>
            <w:proofErr w:type="spellStart"/>
            <w:r w:rsidRPr="00EE6FFC">
              <w:rPr>
                <w:color w:val="000000"/>
              </w:rPr>
              <w:t>Ekološka</w:t>
            </w:r>
            <w:proofErr w:type="spellEnd"/>
            <w:proofErr w:type="gram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udruga</w:t>
            </w:r>
            <w:proofErr w:type="spellEnd"/>
            <w:r w:rsidRPr="00EE6FFC">
              <w:rPr>
                <w:color w:val="000000"/>
              </w:rPr>
              <w:t xml:space="preserve"> „Krka“ Knin </w:t>
            </w:r>
            <w:proofErr w:type="spellStart"/>
            <w:r w:rsidRPr="00EE6FFC">
              <w:rPr>
                <w:color w:val="000000"/>
              </w:rPr>
              <w:t>članica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Zelenog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foruma</w:t>
            </w:r>
            <w:proofErr w:type="spellEnd"/>
            <w:r w:rsidRPr="00EE6FFC">
              <w:rPr>
                <w:color w:val="000000"/>
              </w:rPr>
              <w:t xml:space="preserve"> ) , Fonda za </w:t>
            </w:r>
            <w:proofErr w:type="spellStart"/>
            <w:r w:rsidRPr="00EE6FFC">
              <w:rPr>
                <w:color w:val="000000"/>
              </w:rPr>
              <w:t>zaštitu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okoliša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energetsku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učinkovitost</w:t>
            </w:r>
            <w:proofErr w:type="spellEnd"/>
            <w:r w:rsidRPr="00EE6FFC">
              <w:rPr>
                <w:color w:val="000000"/>
              </w:rPr>
              <w:t xml:space="preserve"> (FZOEU), </w:t>
            </w:r>
            <w:proofErr w:type="spellStart"/>
            <w:r w:rsidRPr="00EE6FFC">
              <w:rPr>
                <w:color w:val="000000"/>
              </w:rPr>
              <w:t>Ministarstva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gospodarstva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održivog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razvoja</w:t>
            </w:r>
            <w:proofErr w:type="spellEnd"/>
            <w:r w:rsidRPr="00EE6FFC">
              <w:rPr>
                <w:color w:val="000000"/>
              </w:rPr>
              <w:t xml:space="preserve"> (MINGOR) </w:t>
            </w:r>
            <w:proofErr w:type="spellStart"/>
            <w:r w:rsidRPr="00EE6FFC">
              <w:rPr>
                <w:color w:val="000000"/>
              </w:rPr>
              <w:t>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Ureda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udruge</w:t>
            </w:r>
            <w:proofErr w:type="spellEnd"/>
            <w:r w:rsidRPr="00EE6FFC">
              <w:rPr>
                <w:color w:val="000000"/>
              </w:rPr>
              <w:t xml:space="preserve"> Vlade RH (UZUVRH). </w:t>
            </w:r>
            <w:proofErr w:type="spellStart"/>
            <w:r w:rsidRPr="00EE6FFC">
              <w:rPr>
                <w:color w:val="000000"/>
              </w:rPr>
              <w:t>Fokus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sastanka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bila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b/>
                <w:bCs/>
                <w:color w:val="000000"/>
              </w:rPr>
              <w:t>tema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sufinanciranja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projekata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zaštite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okoliša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i </w:t>
            </w:r>
            <w:proofErr w:type="spellStart"/>
            <w:r w:rsidRPr="00EE6FFC">
              <w:rPr>
                <w:b/>
                <w:bCs/>
                <w:color w:val="000000"/>
              </w:rPr>
              <w:t>prirode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i </w:t>
            </w:r>
            <w:proofErr w:type="spellStart"/>
            <w:r w:rsidRPr="00EE6FFC">
              <w:rPr>
                <w:b/>
                <w:bCs/>
                <w:color w:val="000000"/>
              </w:rPr>
              <w:t>energetske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učinkovitosti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koje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provode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udruge</w:t>
            </w:r>
            <w:proofErr w:type="spellEnd"/>
            <w:r w:rsidRPr="00EE6FFC">
              <w:rPr>
                <w:b/>
                <w:bCs/>
                <w:color w:val="000000"/>
              </w:rPr>
              <w:t>,</w:t>
            </w:r>
            <w:r w:rsidRPr="00EE6FFC">
              <w:rPr>
                <w:color w:val="000000"/>
              </w:rPr>
              <w:t xml:space="preserve"> a </w:t>
            </w:r>
            <w:proofErr w:type="spellStart"/>
            <w:r w:rsidRPr="00EE6FFC">
              <w:rPr>
                <w:color w:val="000000"/>
              </w:rPr>
              <w:t>čije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lastRenderedPageBreak/>
              <w:t>poboljšanje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prema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nadležnim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tijelima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zagovarali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deset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godina</w:t>
            </w:r>
            <w:proofErr w:type="spellEnd"/>
            <w:r w:rsidRPr="00EE6FFC">
              <w:rPr>
                <w:color w:val="000000"/>
              </w:rPr>
              <w:t>.</w:t>
            </w:r>
          </w:p>
          <w:p w14:paraId="32A81118" w14:textId="13142E45" w:rsidR="001E76D7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Tema </w:t>
            </w:r>
            <w:proofErr w:type="spellStart"/>
            <w:r w:rsidRPr="00EE6FFC">
              <w:rPr>
                <w:color w:val="000000"/>
              </w:rPr>
              <w:t>sastanka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bili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uvjeti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vezani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Javni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natječaj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sufinanciranje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projekata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zaštite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okoliša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organizacija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civilnog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društva</w:t>
            </w:r>
            <w:proofErr w:type="spellEnd"/>
            <w:r w:rsidRPr="00EE6FFC">
              <w:rPr>
                <w:color w:val="000000"/>
              </w:rPr>
              <w:t>/</w:t>
            </w:r>
            <w:proofErr w:type="spellStart"/>
            <w:r w:rsidRPr="00EE6FFC">
              <w:rPr>
                <w:color w:val="000000"/>
              </w:rPr>
              <w:t>udruga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kao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uvjeti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sufinanciranja</w:t>
            </w:r>
            <w:proofErr w:type="spellEnd"/>
            <w:r w:rsidRPr="00EE6FFC">
              <w:rPr>
                <w:color w:val="000000"/>
              </w:rPr>
              <w:t xml:space="preserve"> EU LIFE </w:t>
            </w:r>
            <w:proofErr w:type="spellStart"/>
            <w:r w:rsidRPr="00EE6FFC">
              <w:rPr>
                <w:color w:val="000000"/>
              </w:rPr>
              <w:t>programa</w:t>
            </w:r>
            <w:proofErr w:type="spellEnd"/>
            <w:r w:rsidRPr="00EE6FFC">
              <w:rPr>
                <w:color w:val="000000"/>
              </w:rPr>
              <w:t xml:space="preserve">, a koji se </w:t>
            </w:r>
            <w:proofErr w:type="spellStart"/>
            <w:r w:rsidRPr="00EE6FFC">
              <w:rPr>
                <w:color w:val="000000"/>
              </w:rPr>
              <w:t>dijelom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reguliraju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kroz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ovaj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Pravilnik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dijelom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kroz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buduće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natječaje</w:t>
            </w:r>
            <w:proofErr w:type="spellEnd"/>
            <w:r w:rsidRPr="00EE6FFC">
              <w:rPr>
                <w:color w:val="000000"/>
              </w:rPr>
              <w:t xml:space="preserve"> koji </w:t>
            </w:r>
            <w:proofErr w:type="spellStart"/>
            <w:r w:rsidRPr="00EE6FFC">
              <w:rPr>
                <w:color w:val="000000"/>
              </w:rPr>
              <w:t>će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raspisivati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temeljem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Pravilnika</w:t>
            </w:r>
            <w:proofErr w:type="spellEnd"/>
            <w:r w:rsidRPr="00EE6FFC">
              <w:rPr>
                <w:color w:val="000000"/>
              </w:rPr>
              <w:t xml:space="preserve">. Dio </w:t>
            </w:r>
            <w:proofErr w:type="spellStart"/>
            <w:r w:rsidRPr="00EE6FFC">
              <w:rPr>
                <w:color w:val="000000"/>
              </w:rPr>
              <w:t>naših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prijedloga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djelomično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inkorporiran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nacrt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Pravilnika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Međutim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donosimo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prijedloge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zadopunu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pojedinih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članaka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Pravilnika</w:t>
            </w:r>
            <w:proofErr w:type="spellEnd"/>
            <w:r w:rsidRPr="00EE6FFC">
              <w:rPr>
                <w:color w:val="000000"/>
              </w:rPr>
              <w:t xml:space="preserve">, a </w:t>
            </w:r>
            <w:proofErr w:type="spellStart"/>
            <w:r w:rsidRPr="00EE6FFC">
              <w:rPr>
                <w:color w:val="000000"/>
              </w:rPr>
              <w:t>kako</w:t>
            </w:r>
            <w:proofErr w:type="spellEnd"/>
            <w:r w:rsidRPr="00EE6FFC">
              <w:rPr>
                <w:color w:val="000000"/>
              </w:rPr>
              <w:t xml:space="preserve"> bi se </w:t>
            </w:r>
            <w:proofErr w:type="spellStart"/>
            <w:r w:rsidRPr="00EE6FFC">
              <w:rPr>
                <w:color w:val="000000"/>
              </w:rPr>
              <w:t>osigurala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kvalitetna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podrška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okolišnim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organizacijama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civilnoga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društva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samim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uspješan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doprinos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provedbi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Arhuške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konvencije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Iskreno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nadamo</w:t>
            </w:r>
            <w:proofErr w:type="spellEnd"/>
            <w:r w:rsidRPr="00EE6FFC">
              <w:rPr>
                <w:color w:val="000000"/>
              </w:rPr>
              <w:t xml:space="preserve"> da </w:t>
            </w:r>
            <w:proofErr w:type="spellStart"/>
            <w:r w:rsidRPr="00EE6FFC">
              <w:rPr>
                <w:color w:val="000000"/>
              </w:rPr>
              <w:t>ćemo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imati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priliku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sudjelovati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prilikom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kreiranja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uvjeta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novih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natječaja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udruge</w:t>
            </w:r>
            <w:proofErr w:type="spellEnd"/>
            <w:r w:rsidRPr="00EE6FFC">
              <w:rPr>
                <w:color w:val="000000"/>
              </w:rPr>
              <w:t xml:space="preserve">, a </w:t>
            </w:r>
            <w:proofErr w:type="spellStart"/>
            <w:r w:rsidRPr="00EE6FFC">
              <w:rPr>
                <w:color w:val="000000"/>
              </w:rPr>
              <w:t>kako</w:t>
            </w:r>
            <w:proofErr w:type="spellEnd"/>
            <w:r w:rsidRPr="00EE6FFC">
              <w:rPr>
                <w:color w:val="000000"/>
              </w:rPr>
              <w:t xml:space="preserve"> bi </w:t>
            </w:r>
            <w:proofErr w:type="spellStart"/>
            <w:r w:rsidRPr="00EE6FFC">
              <w:rPr>
                <w:color w:val="000000"/>
              </w:rPr>
              <w:t>zajednički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pokušali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pronaći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modele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inkorporiranje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ostalih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prijedloga</w:t>
            </w:r>
            <w:proofErr w:type="spellEnd"/>
            <w:r w:rsidRPr="00EE6FFC">
              <w:rPr>
                <w:color w:val="000000"/>
              </w:rPr>
              <w:t>.</w:t>
            </w:r>
          </w:p>
          <w:p w14:paraId="597A8E64" w14:textId="253D1C18" w:rsidR="00912B47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b/>
                <w:bCs/>
                <w:color w:val="000000"/>
              </w:rPr>
              <w:t xml:space="preserve">- </w:t>
            </w:r>
            <w:proofErr w:type="spellStart"/>
            <w:r w:rsidRPr="00EE6FFC">
              <w:rPr>
                <w:color w:val="000000"/>
              </w:rPr>
              <w:t>Programom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rada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financijskim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planom</w:t>
            </w:r>
            <w:proofErr w:type="spellEnd"/>
            <w:r w:rsidRPr="00EE6FFC">
              <w:rPr>
                <w:color w:val="000000"/>
              </w:rPr>
              <w:t xml:space="preserve"> Fonda za </w:t>
            </w:r>
            <w:proofErr w:type="spellStart"/>
            <w:r w:rsidRPr="00EE6FFC">
              <w:rPr>
                <w:color w:val="000000"/>
              </w:rPr>
              <w:t>svaku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tekuću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godinu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utvrđuju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izvori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namjene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financijskih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sredstava</w:t>
            </w:r>
            <w:proofErr w:type="spellEnd"/>
            <w:r w:rsidRPr="00EE6FFC">
              <w:rPr>
                <w:color w:val="000000"/>
              </w:rPr>
              <w:t>.</w:t>
            </w:r>
          </w:p>
          <w:p w14:paraId="69BE1572" w14:textId="118FECC2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 - </w:t>
            </w:r>
            <w:proofErr w:type="spellStart"/>
            <w:r w:rsidRPr="00EE6FFC">
              <w:rPr>
                <w:color w:val="000000"/>
              </w:rPr>
              <w:t>Godišnjim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višegodišnjim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programom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rada</w:t>
            </w:r>
            <w:proofErr w:type="spellEnd"/>
            <w:r w:rsidRPr="00EE6FFC">
              <w:rPr>
                <w:color w:val="000000"/>
              </w:rPr>
              <w:t xml:space="preserve"> Fonda </w:t>
            </w:r>
            <w:proofErr w:type="spellStart"/>
            <w:r w:rsidRPr="00EE6FFC">
              <w:rPr>
                <w:color w:val="000000"/>
              </w:rPr>
              <w:t>utvrđuju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područja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zaštite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okoliša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energetske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učinkovitosti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skladu</w:t>
            </w:r>
            <w:proofErr w:type="spellEnd"/>
            <w:r w:rsidRPr="00EE6FFC">
              <w:rPr>
                <w:color w:val="000000"/>
              </w:rPr>
              <w:t xml:space="preserve"> s </w:t>
            </w:r>
            <w:proofErr w:type="spellStart"/>
            <w:r w:rsidRPr="00EE6FFC">
              <w:rPr>
                <w:color w:val="000000"/>
              </w:rPr>
              <w:t>člankom</w:t>
            </w:r>
            <w:proofErr w:type="spellEnd"/>
            <w:r w:rsidRPr="00EE6FFC">
              <w:rPr>
                <w:color w:val="000000"/>
              </w:rPr>
              <w:t xml:space="preserve"> 19. </w:t>
            </w:r>
            <w:proofErr w:type="spellStart"/>
            <w:r w:rsidRPr="00EE6FFC">
              <w:rPr>
                <w:color w:val="000000"/>
              </w:rPr>
              <w:t>stavkom</w:t>
            </w:r>
            <w:proofErr w:type="spellEnd"/>
            <w:r w:rsidRPr="00EE6FFC">
              <w:rPr>
                <w:color w:val="000000"/>
              </w:rPr>
              <w:t xml:space="preserve"> 1. </w:t>
            </w:r>
            <w:proofErr w:type="spellStart"/>
            <w:r w:rsidRPr="00EE6FFC">
              <w:rPr>
                <w:color w:val="000000"/>
              </w:rPr>
              <w:t>Zakona</w:t>
            </w:r>
            <w:proofErr w:type="spellEnd"/>
            <w:r w:rsidRPr="00EE6FFC">
              <w:rPr>
                <w:color w:val="000000"/>
              </w:rPr>
              <w:t xml:space="preserve"> o Fondu i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temelju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strateških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planskih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dokumenata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programa</w:t>
            </w:r>
            <w:proofErr w:type="spellEnd"/>
            <w:r w:rsidRPr="00EE6FFC">
              <w:rPr>
                <w:color w:val="000000"/>
              </w:rPr>
              <w:t xml:space="preserve"> koji </w:t>
            </w:r>
            <w:proofErr w:type="spellStart"/>
            <w:r w:rsidRPr="00EE6FFC">
              <w:rPr>
                <w:color w:val="000000"/>
              </w:rPr>
              <w:t>utvrđuju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prioritete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području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zaštite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okoliša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zaštite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prirode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zaštite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zraka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klimatskih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aktivnosti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energetske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učinkovitosti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lastRenderedPageBreak/>
              <w:t>korištenja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obnovljivih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izvora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energije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zelene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tranzicije</w:t>
            </w:r>
            <w:proofErr w:type="spellEnd"/>
            <w:r w:rsidRPr="00EE6FFC">
              <w:rPr>
                <w:color w:val="000000"/>
              </w:rPr>
              <w:t xml:space="preserve">. </w:t>
            </w:r>
          </w:p>
          <w:p w14:paraId="1BE3FF1F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proofErr w:type="spellStart"/>
            <w:r w:rsidRPr="00EE6FFC">
              <w:rPr>
                <w:color w:val="000000"/>
              </w:rPr>
              <w:t>Smatramo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kako</w:t>
            </w:r>
            <w:proofErr w:type="spellEnd"/>
            <w:r w:rsidRPr="00EE6FFC">
              <w:rPr>
                <w:color w:val="000000"/>
              </w:rPr>
              <w:t xml:space="preserve"> bi </w:t>
            </w:r>
            <w:proofErr w:type="spellStart"/>
            <w:r w:rsidRPr="00EE6FFC">
              <w:rPr>
                <w:color w:val="000000"/>
              </w:rPr>
              <w:t>organizacije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civilnog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društva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trebale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biti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uključene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izradu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sektorskih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analiza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jer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tako</w:t>
            </w:r>
            <w:proofErr w:type="spellEnd"/>
            <w:r w:rsidRPr="00EE6FFC">
              <w:rPr>
                <w:color w:val="000000"/>
              </w:rPr>
              <w:t xml:space="preserve"> FZOEU </w:t>
            </w:r>
            <w:proofErr w:type="spellStart"/>
            <w:r w:rsidRPr="00EE6FFC">
              <w:rPr>
                <w:color w:val="000000"/>
              </w:rPr>
              <w:t>može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dobiti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podatke</w:t>
            </w:r>
            <w:proofErr w:type="spellEnd"/>
            <w:r w:rsidRPr="00EE6FFC">
              <w:rPr>
                <w:color w:val="000000"/>
              </w:rPr>
              <w:t xml:space="preserve"> o </w:t>
            </w:r>
            <w:proofErr w:type="spellStart"/>
            <w:r w:rsidRPr="00EE6FFC">
              <w:rPr>
                <w:color w:val="000000"/>
              </w:rPr>
              <w:t>potrebama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koja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temelje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između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ostalog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radu</w:t>
            </w:r>
            <w:proofErr w:type="spellEnd"/>
            <w:r w:rsidRPr="00EE6FFC">
              <w:rPr>
                <w:color w:val="000000"/>
              </w:rPr>
              <w:t xml:space="preserve"> s </w:t>
            </w:r>
            <w:proofErr w:type="spellStart"/>
            <w:r w:rsidRPr="00EE6FFC">
              <w:rPr>
                <w:color w:val="000000"/>
              </w:rPr>
              <w:t>korisnicima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tj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građanima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građankama</w:t>
            </w:r>
            <w:proofErr w:type="spellEnd"/>
            <w:r w:rsidRPr="00EE6FFC">
              <w:rPr>
                <w:color w:val="000000"/>
              </w:rPr>
              <w:t xml:space="preserve">. Na taj </w:t>
            </w:r>
            <w:proofErr w:type="spellStart"/>
            <w:r w:rsidRPr="00EE6FFC">
              <w:rPr>
                <w:color w:val="000000"/>
              </w:rPr>
              <w:t>način</w:t>
            </w:r>
            <w:proofErr w:type="spellEnd"/>
            <w:r w:rsidRPr="00EE6FFC">
              <w:rPr>
                <w:color w:val="000000"/>
              </w:rPr>
              <w:t xml:space="preserve"> bi se </w:t>
            </w:r>
            <w:proofErr w:type="spellStart"/>
            <w:r w:rsidRPr="00EE6FFC">
              <w:rPr>
                <w:color w:val="000000"/>
              </w:rPr>
              <w:t>sredstva</w:t>
            </w:r>
            <w:proofErr w:type="spellEnd"/>
            <w:r w:rsidRPr="00EE6FFC">
              <w:rPr>
                <w:color w:val="000000"/>
              </w:rPr>
              <w:t xml:space="preserve"> FZOEU </w:t>
            </w:r>
            <w:proofErr w:type="spellStart"/>
            <w:r w:rsidRPr="00EE6FFC">
              <w:rPr>
                <w:color w:val="000000"/>
              </w:rPr>
              <w:t>namijenjena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udrugama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usmjeravala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stvarne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potrebe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konkretnom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području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konkretne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potrebe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neke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zajednice</w:t>
            </w:r>
            <w:proofErr w:type="spellEnd"/>
            <w:r w:rsidRPr="00EE6FFC">
              <w:rPr>
                <w:color w:val="000000"/>
              </w:rPr>
              <w:t xml:space="preserve">, a za </w:t>
            </w:r>
            <w:proofErr w:type="spellStart"/>
            <w:r w:rsidRPr="00EE6FFC">
              <w:rPr>
                <w:color w:val="000000"/>
              </w:rPr>
              <w:t>dobrobit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svih</w:t>
            </w:r>
            <w:proofErr w:type="spellEnd"/>
            <w:r w:rsidRPr="00EE6FFC">
              <w:rPr>
                <w:color w:val="000000"/>
              </w:rPr>
              <w:t xml:space="preserve">. Tako je </w:t>
            </w:r>
            <w:proofErr w:type="spellStart"/>
            <w:r w:rsidRPr="00EE6FFC">
              <w:rPr>
                <w:color w:val="000000"/>
              </w:rPr>
              <w:t>moguće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utvrditi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ako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neko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područje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neka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tema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određenoj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godini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toliko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važna</w:t>
            </w:r>
            <w:proofErr w:type="spellEnd"/>
            <w:r w:rsidRPr="00EE6FFC">
              <w:rPr>
                <w:color w:val="000000"/>
              </w:rPr>
              <w:t xml:space="preserve"> da je u </w:t>
            </w:r>
            <w:proofErr w:type="spellStart"/>
            <w:r w:rsidRPr="00EE6FFC">
              <w:rPr>
                <w:color w:val="000000"/>
              </w:rPr>
              <w:t>nju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potrebno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usmjeriti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veći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dio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sredstava</w:t>
            </w:r>
            <w:proofErr w:type="spellEnd"/>
            <w:r w:rsidRPr="00EE6FFC">
              <w:rPr>
                <w:color w:val="000000"/>
              </w:rPr>
              <w:t xml:space="preserve">, a da je u </w:t>
            </w:r>
            <w:proofErr w:type="spellStart"/>
            <w:r w:rsidRPr="00EE6FFC">
              <w:rPr>
                <w:color w:val="000000"/>
              </w:rPr>
              <w:t>sljedećoj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godini</w:t>
            </w:r>
            <w:proofErr w:type="spellEnd"/>
            <w:r w:rsidRPr="00EE6FFC">
              <w:rPr>
                <w:color w:val="000000"/>
              </w:rPr>
              <w:t xml:space="preserve"> to </w:t>
            </w:r>
            <w:proofErr w:type="spellStart"/>
            <w:r w:rsidRPr="00EE6FFC">
              <w:rPr>
                <w:color w:val="000000"/>
              </w:rPr>
              <w:t>nešto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drugo</w:t>
            </w:r>
            <w:proofErr w:type="spellEnd"/>
            <w:r w:rsidRPr="00EE6FFC">
              <w:rPr>
                <w:color w:val="000000"/>
              </w:rPr>
              <w:t xml:space="preserve">. Isto </w:t>
            </w:r>
            <w:proofErr w:type="spellStart"/>
            <w:r w:rsidRPr="00EE6FFC">
              <w:rPr>
                <w:color w:val="000000"/>
              </w:rPr>
              <w:t>tako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moguće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utvrditi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postoji</w:t>
            </w:r>
            <w:proofErr w:type="spellEnd"/>
            <w:r w:rsidRPr="00EE6FFC">
              <w:rPr>
                <w:color w:val="000000"/>
              </w:rPr>
              <w:t xml:space="preserve"> li </w:t>
            </w:r>
            <w:proofErr w:type="spellStart"/>
            <w:r w:rsidRPr="00EE6FFC">
              <w:rPr>
                <w:color w:val="000000"/>
              </w:rPr>
              <w:t>potreba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tzv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pozivnih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natječaja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određenu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temu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područje</w:t>
            </w:r>
            <w:proofErr w:type="spellEnd"/>
            <w:r w:rsidRPr="00EE6FFC">
              <w:rPr>
                <w:color w:val="000000"/>
              </w:rPr>
              <w:t xml:space="preserve">, a </w:t>
            </w:r>
            <w:proofErr w:type="spellStart"/>
            <w:r w:rsidRPr="00EE6FFC">
              <w:rPr>
                <w:color w:val="000000"/>
              </w:rPr>
              <w:t>kako</w:t>
            </w:r>
            <w:proofErr w:type="spellEnd"/>
            <w:r w:rsidRPr="00EE6FFC">
              <w:rPr>
                <w:color w:val="000000"/>
              </w:rPr>
              <w:t xml:space="preserve"> bi se </w:t>
            </w:r>
            <w:proofErr w:type="spellStart"/>
            <w:r w:rsidRPr="00EE6FFC">
              <w:rPr>
                <w:color w:val="000000"/>
              </w:rPr>
              <w:t>ubrzao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postupak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ugovaranja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Potrebu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uključenja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organizacija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civilnog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društva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izradu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sektorskih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analiza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području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zaštite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okoliša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prirode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ističemo</w:t>
            </w:r>
            <w:proofErr w:type="spellEnd"/>
            <w:r w:rsidRPr="00EE6FFC">
              <w:rPr>
                <w:color w:val="000000"/>
              </w:rPr>
              <w:t xml:space="preserve"> od 2013. </w:t>
            </w:r>
            <w:proofErr w:type="spellStart"/>
            <w:r w:rsidRPr="00EE6FFC">
              <w:rPr>
                <w:color w:val="000000"/>
              </w:rPr>
              <w:t>godine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tj</w:t>
            </w:r>
            <w:proofErr w:type="spellEnd"/>
            <w:r w:rsidRPr="00EE6FFC">
              <w:rPr>
                <w:color w:val="000000"/>
              </w:rPr>
              <w:t xml:space="preserve">. od </w:t>
            </w:r>
            <w:proofErr w:type="spellStart"/>
            <w:r w:rsidRPr="00EE6FFC">
              <w:rPr>
                <w:color w:val="000000"/>
              </w:rPr>
              <w:t>kada</w:t>
            </w:r>
            <w:proofErr w:type="spellEnd"/>
            <w:r w:rsidRPr="00EE6FFC">
              <w:rPr>
                <w:color w:val="000000"/>
              </w:rPr>
              <w:t xml:space="preserve"> je FZOEU i </w:t>
            </w:r>
            <w:proofErr w:type="spellStart"/>
            <w:r w:rsidRPr="00EE6FFC">
              <w:rPr>
                <w:color w:val="000000"/>
              </w:rPr>
              <w:t>preuzeo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od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strane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Ministarstva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provedbu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natječaja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udruge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Participativan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proces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izrade</w:t>
            </w:r>
            <w:proofErr w:type="spellEnd"/>
            <w:r w:rsidR="00FA2545"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sektorskih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analiza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podržavaju</w:t>
            </w:r>
            <w:proofErr w:type="spellEnd"/>
            <w:r w:rsidRPr="00EE6FFC">
              <w:rPr>
                <w:color w:val="000000"/>
              </w:rPr>
              <w:t xml:space="preserve"> UZUVRH, </w:t>
            </w:r>
            <w:proofErr w:type="spellStart"/>
            <w:r w:rsidRPr="00EE6FFC">
              <w:rPr>
                <w:color w:val="000000"/>
              </w:rPr>
              <w:t>Odbor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zaštitu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okoliša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prirode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Hrvatskoga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sabora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Pučka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pravobraniteljica</w:t>
            </w:r>
            <w:proofErr w:type="spellEnd"/>
            <w:r w:rsidRPr="00EE6FFC">
              <w:rPr>
                <w:color w:val="000000"/>
              </w:rPr>
              <w:t xml:space="preserve">, a po </w:t>
            </w:r>
            <w:proofErr w:type="spellStart"/>
            <w:r w:rsidRPr="00EE6FFC">
              <w:rPr>
                <w:color w:val="000000"/>
              </w:rPr>
              <w:t>uzoru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takve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procese</w:t>
            </w:r>
            <w:proofErr w:type="spellEnd"/>
            <w:r w:rsidRPr="00EE6FFC">
              <w:rPr>
                <w:color w:val="000000"/>
              </w:rPr>
              <w:t xml:space="preserve"> koji se </w:t>
            </w:r>
            <w:proofErr w:type="spellStart"/>
            <w:r w:rsidRPr="00EE6FFC">
              <w:rPr>
                <w:color w:val="000000"/>
              </w:rPr>
              <w:t>provode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druge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sektore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Slobodni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navesti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neke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od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mogućnosti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stoje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raspolaganje</w:t>
            </w:r>
            <w:proofErr w:type="spellEnd"/>
            <w:r w:rsidRPr="00EE6FFC">
              <w:rPr>
                <w:color w:val="000000"/>
              </w:rPr>
              <w:t xml:space="preserve"> FZOEU za </w:t>
            </w:r>
            <w:proofErr w:type="spellStart"/>
            <w:r w:rsidRPr="00EE6FFC">
              <w:rPr>
                <w:color w:val="000000"/>
              </w:rPr>
              <w:t>uključiv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proces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izrade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sektorskih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analiza</w:t>
            </w:r>
            <w:proofErr w:type="spellEnd"/>
            <w:r w:rsidRPr="00EE6FFC">
              <w:rPr>
                <w:color w:val="000000"/>
              </w:rPr>
              <w:t>: e-</w:t>
            </w:r>
            <w:proofErr w:type="spellStart"/>
            <w:r w:rsidRPr="00EE6FFC">
              <w:rPr>
                <w:color w:val="000000"/>
              </w:rPr>
              <w:t>savjetovanje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radne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skupine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radni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sastanci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konzultacije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uživo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itd</w:t>
            </w:r>
            <w:proofErr w:type="spellEnd"/>
            <w:r w:rsidRPr="00EE6FFC">
              <w:rPr>
                <w:color w:val="000000"/>
              </w:rPr>
              <w:t xml:space="preserve">., a </w:t>
            </w:r>
            <w:proofErr w:type="spellStart"/>
            <w:r w:rsidRPr="00EE6FFC">
              <w:rPr>
                <w:color w:val="000000"/>
              </w:rPr>
              <w:t>što</w:t>
            </w:r>
            <w:proofErr w:type="spellEnd"/>
            <w:r w:rsidRPr="00EE6FFC">
              <w:rPr>
                <w:color w:val="000000"/>
              </w:rPr>
              <w:t xml:space="preserve"> su </w:t>
            </w:r>
            <w:proofErr w:type="spellStart"/>
            <w:r w:rsidRPr="00EE6FFC">
              <w:rPr>
                <w:color w:val="000000"/>
              </w:rPr>
              <w:t>mogućnosti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koje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koriste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druge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sektore</w:t>
            </w:r>
            <w:proofErr w:type="spellEnd"/>
            <w:r w:rsidRPr="00EE6FFC">
              <w:rPr>
                <w:color w:val="000000"/>
              </w:rPr>
              <w:t>.</w:t>
            </w:r>
          </w:p>
          <w:p w14:paraId="0FA6B952" w14:textId="21987442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lastRenderedPageBreak/>
              <w:t xml:space="preserve"> </w:t>
            </w:r>
            <w:proofErr w:type="spellStart"/>
            <w:r w:rsidRPr="00EE6FFC">
              <w:rPr>
                <w:color w:val="000000"/>
              </w:rPr>
              <w:t>Temeljem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ovog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prijedloga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Pravilnika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dalje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ostaje</w:t>
            </w:r>
            <w:proofErr w:type="spellEnd"/>
            <w:r w:rsidRPr="00EE6FFC">
              <w:rPr>
                <w:color w:val="000000"/>
              </w:rPr>
              <w:t xml:space="preserve"> da </w:t>
            </w:r>
            <w:proofErr w:type="spellStart"/>
            <w:r w:rsidRPr="00EE6FFC">
              <w:rPr>
                <w:color w:val="000000"/>
              </w:rPr>
              <w:t>nositelj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jedino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može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dobiti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sufinanciranje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iznimke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definirane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stavkom</w:t>
            </w:r>
            <w:proofErr w:type="spellEnd"/>
            <w:r w:rsidRPr="00EE6FFC">
              <w:rPr>
                <w:color w:val="000000"/>
              </w:rPr>
              <w:t xml:space="preserve"> 2. </w:t>
            </w:r>
            <w:proofErr w:type="spellStart"/>
            <w:r w:rsidRPr="00EE6FFC">
              <w:rPr>
                <w:color w:val="000000"/>
              </w:rPr>
              <w:t>Budući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gore </w:t>
            </w:r>
            <w:proofErr w:type="spellStart"/>
            <w:r w:rsidRPr="00EE6FFC">
              <w:rPr>
                <w:color w:val="000000"/>
              </w:rPr>
              <w:t>spomenutom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sastanku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istakli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izazove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vezane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ovaj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način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osiguravanja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sufinanciranja</w:t>
            </w:r>
            <w:proofErr w:type="spellEnd"/>
            <w:r w:rsidRPr="00EE6FFC">
              <w:rPr>
                <w:color w:val="000000"/>
              </w:rPr>
              <w:t xml:space="preserve"> EU </w:t>
            </w:r>
            <w:proofErr w:type="spellStart"/>
            <w:r w:rsidRPr="00EE6FFC">
              <w:rPr>
                <w:color w:val="000000"/>
              </w:rPr>
              <w:t>projekta</w:t>
            </w:r>
            <w:proofErr w:type="spellEnd"/>
            <w:r w:rsidRPr="00EE6FFC">
              <w:rPr>
                <w:color w:val="000000"/>
              </w:rPr>
              <w:t xml:space="preserve"> (</w:t>
            </w:r>
            <w:proofErr w:type="spellStart"/>
            <w:r w:rsidRPr="00EE6FFC">
              <w:rPr>
                <w:color w:val="000000"/>
              </w:rPr>
              <w:t>poglavito</w:t>
            </w:r>
            <w:proofErr w:type="spellEnd"/>
            <w:r w:rsidRPr="00EE6FFC">
              <w:rPr>
                <w:color w:val="000000"/>
              </w:rPr>
              <w:t xml:space="preserve"> LIFE </w:t>
            </w:r>
            <w:proofErr w:type="spellStart"/>
            <w:r w:rsidRPr="00EE6FFC">
              <w:rPr>
                <w:color w:val="000000"/>
              </w:rPr>
              <w:t>programa</w:t>
            </w:r>
            <w:proofErr w:type="spellEnd"/>
            <w:r w:rsidRPr="00EE6FFC">
              <w:rPr>
                <w:color w:val="000000"/>
              </w:rPr>
              <w:t xml:space="preserve">), </w:t>
            </w:r>
            <w:proofErr w:type="spellStart"/>
            <w:r w:rsidRPr="00EE6FFC">
              <w:rPr>
                <w:b/>
                <w:bCs/>
                <w:color w:val="000000"/>
              </w:rPr>
              <w:t>predlažemo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dopunu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stavka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2</w:t>
            </w:r>
            <w:r w:rsidR="00EE6FFC">
              <w:rPr>
                <w:b/>
                <w:bCs/>
                <w:color w:val="000000"/>
              </w:rPr>
              <w:t>.</w:t>
            </w:r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kako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slijedi</w:t>
            </w:r>
            <w:proofErr w:type="spellEnd"/>
            <w:r w:rsidRPr="00EE6FFC">
              <w:rPr>
                <w:color w:val="000000"/>
              </w:rPr>
              <w:t xml:space="preserve"> </w:t>
            </w:r>
          </w:p>
          <w:p w14:paraId="241E7270" w14:textId="77777777" w:rsidR="001943BB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(1) </w:t>
            </w:r>
            <w:proofErr w:type="spellStart"/>
            <w:r w:rsidRPr="00EE6FFC">
              <w:rPr>
                <w:color w:val="000000"/>
              </w:rPr>
              <w:t>Iznimno</w:t>
            </w:r>
            <w:proofErr w:type="spellEnd"/>
            <w:r w:rsidRPr="00EE6FFC">
              <w:rPr>
                <w:color w:val="000000"/>
              </w:rPr>
              <w:t xml:space="preserve">, u </w:t>
            </w:r>
            <w:proofErr w:type="spellStart"/>
            <w:r w:rsidRPr="00EE6FFC">
              <w:rPr>
                <w:color w:val="000000"/>
              </w:rPr>
              <w:t>skladu</w:t>
            </w:r>
            <w:proofErr w:type="spellEnd"/>
            <w:r w:rsidRPr="00EE6FFC">
              <w:rPr>
                <w:color w:val="000000"/>
              </w:rPr>
              <w:t xml:space="preserve"> s </w:t>
            </w:r>
            <w:proofErr w:type="spellStart"/>
            <w:r w:rsidRPr="00EE6FFC">
              <w:rPr>
                <w:color w:val="000000"/>
              </w:rPr>
              <w:t>uvjetima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kriterijima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određenim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natječajem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javnim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pozivom</w:t>
            </w:r>
            <w:proofErr w:type="spellEnd"/>
            <w:r w:rsidRPr="00EE6FFC">
              <w:rPr>
                <w:color w:val="000000"/>
              </w:rPr>
              <w:t xml:space="preserve">, Fond </w:t>
            </w:r>
            <w:proofErr w:type="spellStart"/>
            <w:r w:rsidRPr="00EE6FFC">
              <w:rPr>
                <w:color w:val="000000"/>
              </w:rPr>
              <w:t>može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financirati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programe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slične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aktivnosti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partnerima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ako</w:t>
            </w:r>
            <w:proofErr w:type="spellEnd"/>
            <w:r w:rsidRPr="00EE6FFC">
              <w:rPr>
                <w:color w:val="000000"/>
              </w:rPr>
              <w:t>:</w:t>
            </w:r>
          </w:p>
          <w:p w14:paraId="4F5585EB" w14:textId="21CF2DD8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 - </w:t>
            </w:r>
            <w:proofErr w:type="spellStart"/>
            <w:r w:rsidRPr="00EE6FFC">
              <w:rPr>
                <w:color w:val="000000"/>
              </w:rPr>
              <w:t>nositelj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programa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slične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aktivnosti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sjedište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izvan</w:t>
            </w:r>
            <w:proofErr w:type="spellEnd"/>
            <w:r w:rsidRPr="00EE6FFC">
              <w:rPr>
                <w:color w:val="000000"/>
              </w:rPr>
              <w:t xml:space="preserve"> RH i </w:t>
            </w:r>
          </w:p>
          <w:p w14:paraId="11BE9EB0" w14:textId="58DA7208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- </w:t>
            </w:r>
            <w:proofErr w:type="spellStart"/>
            <w:r w:rsidRPr="00EE6FFC">
              <w:rPr>
                <w:color w:val="000000"/>
              </w:rPr>
              <w:t>dio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programa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slične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aktivnosti</w:t>
            </w:r>
            <w:proofErr w:type="spellEnd"/>
            <w:r w:rsidRPr="00EE6FFC">
              <w:rPr>
                <w:color w:val="000000"/>
              </w:rPr>
              <w:t xml:space="preserve"> koji je </w:t>
            </w:r>
            <w:proofErr w:type="spellStart"/>
            <w:r w:rsidRPr="00EE6FFC">
              <w:rPr>
                <w:color w:val="000000"/>
              </w:rPr>
              <w:t>predmet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financiranja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čini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samostalnu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cjelinu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provodi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teritoriju</w:t>
            </w:r>
            <w:proofErr w:type="spellEnd"/>
            <w:r w:rsidRPr="00EE6FFC">
              <w:rPr>
                <w:color w:val="000000"/>
              </w:rPr>
              <w:t xml:space="preserve"> RH.</w:t>
            </w:r>
          </w:p>
          <w:p w14:paraId="176888E6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 - </w:t>
            </w:r>
            <w:proofErr w:type="spellStart"/>
            <w:r w:rsidRPr="00EE6FFC">
              <w:rPr>
                <w:b/>
                <w:bCs/>
                <w:color w:val="000000"/>
              </w:rPr>
              <w:t>ukoliko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se </w:t>
            </w:r>
            <w:proofErr w:type="spellStart"/>
            <w:r w:rsidRPr="00EE6FFC">
              <w:rPr>
                <w:b/>
                <w:bCs/>
                <w:color w:val="000000"/>
              </w:rPr>
              <w:t>radi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o </w:t>
            </w:r>
            <w:proofErr w:type="spellStart"/>
            <w:r w:rsidRPr="00EE6FFC">
              <w:rPr>
                <w:b/>
                <w:bCs/>
                <w:color w:val="000000"/>
              </w:rPr>
              <w:t>projektima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organizacija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civilnog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društva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financiranim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iz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programa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i </w:t>
            </w:r>
            <w:proofErr w:type="spellStart"/>
            <w:r w:rsidRPr="00EE6FFC">
              <w:rPr>
                <w:b/>
                <w:bCs/>
                <w:color w:val="000000"/>
              </w:rPr>
              <w:t>fondova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Europske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unije</w:t>
            </w:r>
            <w:proofErr w:type="spellEnd"/>
            <w:r w:rsidRPr="00EE6FFC">
              <w:rPr>
                <w:color w:val="000000"/>
              </w:rPr>
              <w:t xml:space="preserve">. </w:t>
            </w:r>
          </w:p>
          <w:p w14:paraId="400051ED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proofErr w:type="spellStart"/>
            <w:r w:rsidRPr="00EE6FFC">
              <w:rPr>
                <w:color w:val="000000"/>
              </w:rPr>
              <w:t>Podsjećamo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unazad</w:t>
            </w:r>
            <w:proofErr w:type="spellEnd"/>
            <w:r w:rsidRPr="00EE6FFC">
              <w:rPr>
                <w:color w:val="000000"/>
              </w:rPr>
              <w:t xml:space="preserve"> 4-5 </w:t>
            </w:r>
            <w:proofErr w:type="spellStart"/>
            <w:r w:rsidRPr="00EE6FFC">
              <w:rPr>
                <w:color w:val="000000"/>
              </w:rPr>
              <w:t>godina</w:t>
            </w:r>
            <w:proofErr w:type="spellEnd"/>
            <w:r w:rsidRPr="00EE6FFC">
              <w:rPr>
                <w:color w:val="000000"/>
              </w:rPr>
              <w:t xml:space="preserve"> FZOEU je </w:t>
            </w:r>
            <w:proofErr w:type="spellStart"/>
            <w:r w:rsidRPr="00EE6FFC">
              <w:rPr>
                <w:color w:val="000000"/>
              </w:rPr>
              <w:t>promijenio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praksu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sklapanja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ugovora</w:t>
            </w:r>
            <w:proofErr w:type="spellEnd"/>
            <w:r w:rsidRPr="00EE6FFC">
              <w:rPr>
                <w:color w:val="000000"/>
              </w:rPr>
              <w:t xml:space="preserve"> o </w:t>
            </w:r>
            <w:proofErr w:type="spellStart"/>
            <w:r w:rsidRPr="00EE6FFC">
              <w:rPr>
                <w:color w:val="000000"/>
              </w:rPr>
              <w:t>sufinanciranju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projekte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kojima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vodeći</w:t>
            </w:r>
            <w:proofErr w:type="spellEnd"/>
            <w:r w:rsidRPr="00EE6FFC">
              <w:rPr>
                <w:color w:val="000000"/>
              </w:rPr>
              <w:t xml:space="preserve"> partner </w:t>
            </w:r>
            <w:proofErr w:type="spellStart"/>
            <w:r w:rsidRPr="00EE6FFC">
              <w:rPr>
                <w:color w:val="000000"/>
              </w:rPr>
              <w:t>iz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Hrvatske</w:t>
            </w:r>
            <w:proofErr w:type="spellEnd"/>
            <w:r w:rsidRPr="00EE6FFC">
              <w:rPr>
                <w:color w:val="000000"/>
              </w:rPr>
              <w:t xml:space="preserve">. U </w:t>
            </w:r>
            <w:proofErr w:type="spellStart"/>
            <w:r w:rsidRPr="00EE6FFC">
              <w:rPr>
                <w:color w:val="000000"/>
              </w:rPr>
              <w:t>prethodnom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periodu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svaka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pravna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osoba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koja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bila</w:t>
            </w:r>
            <w:proofErr w:type="spellEnd"/>
            <w:r w:rsidRPr="00EE6FFC">
              <w:rPr>
                <w:color w:val="000000"/>
              </w:rPr>
              <w:t xml:space="preserve"> partner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LIFE </w:t>
            </w:r>
            <w:proofErr w:type="spellStart"/>
            <w:r w:rsidRPr="00EE6FFC">
              <w:rPr>
                <w:color w:val="000000"/>
              </w:rPr>
              <w:t>projektu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sama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sebe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potpisivala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ugovor</w:t>
            </w:r>
            <w:proofErr w:type="spellEnd"/>
            <w:r w:rsidRPr="00EE6FFC">
              <w:rPr>
                <w:color w:val="000000"/>
              </w:rPr>
              <w:t xml:space="preserve"> o </w:t>
            </w:r>
            <w:proofErr w:type="spellStart"/>
            <w:r w:rsidRPr="00EE6FFC">
              <w:rPr>
                <w:color w:val="000000"/>
              </w:rPr>
              <w:t>sufinanciranju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projekta</w:t>
            </w:r>
            <w:proofErr w:type="spellEnd"/>
            <w:r w:rsidRPr="00EE6FFC">
              <w:rPr>
                <w:color w:val="000000"/>
              </w:rPr>
              <w:t xml:space="preserve"> s FZOEU a </w:t>
            </w:r>
            <w:proofErr w:type="spellStart"/>
            <w:r w:rsidRPr="00EE6FFC">
              <w:rPr>
                <w:color w:val="000000"/>
              </w:rPr>
              <w:t>onda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praksa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promijenila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ako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vodeći</w:t>
            </w:r>
            <w:proofErr w:type="spellEnd"/>
            <w:r w:rsidRPr="00EE6FFC">
              <w:rPr>
                <w:color w:val="000000"/>
              </w:rPr>
              <w:t xml:space="preserve"> partner </w:t>
            </w:r>
            <w:proofErr w:type="spellStart"/>
            <w:r w:rsidRPr="00EE6FFC">
              <w:rPr>
                <w:color w:val="000000"/>
              </w:rPr>
              <w:t>iz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Hrvatske</w:t>
            </w:r>
            <w:proofErr w:type="spellEnd"/>
            <w:r w:rsidRPr="00EE6FFC">
              <w:rPr>
                <w:color w:val="000000"/>
              </w:rPr>
              <w:t xml:space="preserve"> on </w:t>
            </w:r>
            <w:proofErr w:type="spellStart"/>
            <w:r w:rsidRPr="00EE6FFC">
              <w:rPr>
                <w:color w:val="000000"/>
              </w:rPr>
              <w:t>potpisuje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ugovor</w:t>
            </w:r>
            <w:proofErr w:type="spellEnd"/>
            <w:r w:rsidRPr="00EE6FFC">
              <w:rPr>
                <w:color w:val="000000"/>
              </w:rPr>
              <w:t xml:space="preserve"> o </w:t>
            </w:r>
            <w:proofErr w:type="spellStart"/>
            <w:r w:rsidRPr="00EE6FFC">
              <w:rPr>
                <w:color w:val="000000"/>
              </w:rPr>
              <w:t>sufinanciranju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sve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partnere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Hrvatske</w:t>
            </w:r>
            <w:proofErr w:type="spellEnd"/>
            <w:r w:rsidRPr="00EE6FFC">
              <w:rPr>
                <w:color w:val="000000"/>
              </w:rPr>
              <w:t xml:space="preserve">. Ova </w:t>
            </w:r>
            <w:proofErr w:type="spellStart"/>
            <w:r w:rsidRPr="00EE6FFC">
              <w:rPr>
                <w:color w:val="000000"/>
              </w:rPr>
              <w:t>praksa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nepovoljna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jer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kroz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lastRenderedPageBreak/>
              <w:t>slijevanje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cjelokupnog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sufinanciranja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vodećeg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partnera</w:t>
            </w:r>
            <w:proofErr w:type="spellEnd"/>
            <w:r w:rsidRPr="00EE6FFC">
              <w:rPr>
                <w:color w:val="000000"/>
              </w:rPr>
              <w:t xml:space="preserve">, koji </w:t>
            </w:r>
            <w:proofErr w:type="spellStart"/>
            <w:r w:rsidRPr="00EE6FFC">
              <w:rPr>
                <w:color w:val="000000"/>
              </w:rPr>
              <w:t>onda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novac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sufinanciranje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raspodjeljuje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ostalim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partnerima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Hrvatske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znatno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povećava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godišnji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proračun</w:t>
            </w:r>
            <w:proofErr w:type="spellEnd"/>
            <w:r w:rsidRPr="00EE6FFC">
              <w:rPr>
                <w:color w:val="000000"/>
              </w:rPr>
              <w:t xml:space="preserve">. To </w:t>
            </w:r>
            <w:proofErr w:type="spellStart"/>
            <w:r w:rsidRPr="00EE6FFC">
              <w:rPr>
                <w:color w:val="000000"/>
              </w:rPr>
              <w:t>sa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sobom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donosi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dodatno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administrativno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opterećenje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okolišne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udruge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koja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vodeći</w:t>
            </w:r>
            <w:proofErr w:type="spellEnd"/>
            <w:r w:rsidRPr="00EE6FFC">
              <w:rPr>
                <w:color w:val="000000"/>
              </w:rPr>
              <w:t xml:space="preserve"> partner, </w:t>
            </w:r>
            <w:proofErr w:type="spellStart"/>
            <w:r w:rsidRPr="00EE6FFC">
              <w:rPr>
                <w:color w:val="000000"/>
              </w:rPr>
              <w:t>te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također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rizik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slučaj</w:t>
            </w:r>
            <w:proofErr w:type="spellEnd"/>
            <w:r w:rsidRPr="00EE6FFC">
              <w:rPr>
                <w:color w:val="000000"/>
              </w:rPr>
              <w:t xml:space="preserve"> da </w:t>
            </w:r>
            <w:proofErr w:type="spellStart"/>
            <w:r w:rsidRPr="00EE6FFC">
              <w:rPr>
                <w:color w:val="000000"/>
              </w:rPr>
              <w:t>neki</w:t>
            </w:r>
            <w:proofErr w:type="spellEnd"/>
            <w:r w:rsidR="00FA2545"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od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partnera</w:t>
            </w:r>
            <w:proofErr w:type="spellEnd"/>
            <w:r w:rsidRPr="00EE6FFC">
              <w:rPr>
                <w:color w:val="000000"/>
              </w:rPr>
              <w:t xml:space="preserve"> ne </w:t>
            </w:r>
            <w:proofErr w:type="spellStart"/>
            <w:r w:rsidRPr="00EE6FFC">
              <w:rPr>
                <w:color w:val="000000"/>
              </w:rPr>
              <w:t>bude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ispunjavao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uvjete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ugovora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prebacuje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vodećeg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partnera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umjesto</w:t>
            </w:r>
            <w:proofErr w:type="spellEnd"/>
            <w:r w:rsidRPr="00EE6FFC">
              <w:rPr>
                <w:color w:val="000000"/>
              </w:rPr>
              <w:t xml:space="preserve"> da </w:t>
            </w:r>
            <w:proofErr w:type="spellStart"/>
            <w:r w:rsidRPr="00EE6FFC">
              <w:rPr>
                <w:color w:val="000000"/>
              </w:rPr>
              <w:t>svaki</w:t>
            </w:r>
            <w:proofErr w:type="spellEnd"/>
            <w:r w:rsidRPr="00EE6FFC">
              <w:rPr>
                <w:color w:val="000000"/>
              </w:rPr>
              <w:t xml:space="preserve"> partner </w:t>
            </w:r>
            <w:proofErr w:type="spellStart"/>
            <w:r w:rsidRPr="00EE6FFC">
              <w:rPr>
                <w:color w:val="000000"/>
              </w:rPr>
              <w:t>odgovara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svoje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financije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uspješnost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provedbe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projekta</w:t>
            </w:r>
            <w:proofErr w:type="spellEnd"/>
            <w:r w:rsidRPr="00EE6FFC">
              <w:rPr>
                <w:color w:val="000000"/>
              </w:rPr>
              <w:t xml:space="preserve">. </w:t>
            </w:r>
          </w:p>
          <w:p w14:paraId="16FBAF93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proofErr w:type="spellStart"/>
            <w:r w:rsidRPr="00EE6FFC">
              <w:rPr>
                <w:b/>
                <w:bCs/>
                <w:color w:val="000000"/>
              </w:rPr>
              <w:t>Predlažemo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da se </w:t>
            </w:r>
            <w:proofErr w:type="spellStart"/>
            <w:r w:rsidRPr="00EE6FFC">
              <w:rPr>
                <w:b/>
                <w:bCs/>
                <w:color w:val="000000"/>
              </w:rPr>
              <w:t>ponovno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uspostavi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sustav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gdje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svaki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partner koji </w:t>
            </w:r>
            <w:proofErr w:type="spellStart"/>
            <w:r w:rsidRPr="00EE6FFC">
              <w:rPr>
                <w:b/>
                <w:bCs/>
                <w:color w:val="000000"/>
              </w:rPr>
              <w:t>želi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ostvariti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sufinanciranje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od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FZOEU za LIFE </w:t>
            </w:r>
            <w:proofErr w:type="spellStart"/>
            <w:r w:rsidRPr="00EE6FFC">
              <w:rPr>
                <w:b/>
                <w:bCs/>
                <w:color w:val="000000"/>
              </w:rPr>
              <w:t>projekt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sam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traži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sufinanciranje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i </w:t>
            </w:r>
            <w:proofErr w:type="spellStart"/>
            <w:r w:rsidRPr="00EE6FFC">
              <w:rPr>
                <w:b/>
                <w:bCs/>
                <w:color w:val="000000"/>
              </w:rPr>
              <w:t>potpisuje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ugovor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s FZOEU</w:t>
            </w:r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čime</w:t>
            </w:r>
            <w:proofErr w:type="spellEnd"/>
            <w:r w:rsidRPr="00EE6FFC">
              <w:rPr>
                <w:color w:val="000000"/>
              </w:rPr>
              <w:t xml:space="preserve"> bi se i </w:t>
            </w:r>
            <w:proofErr w:type="spellStart"/>
            <w:r w:rsidRPr="00EE6FFC">
              <w:rPr>
                <w:color w:val="000000"/>
              </w:rPr>
              <w:t>odgovornost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preselila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svakog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partnera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zasebno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Ovaj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oblik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sufinanciranja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projekata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udruga</w:t>
            </w:r>
            <w:proofErr w:type="spellEnd"/>
            <w:r w:rsidRPr="00EE6FFC">
              <w:rPr>
                <w:color w:val="000000"/>
              </w:rPr>
              <w:t xml:space="preserve"> koji se </w:t>
            </w:r>
            <w:proofErr w:type="spellStart"/>
            <w:r w:rsidRPr="00EE6FFC">
              <w:rPr>
                <w:color w:val="000000"/>
              </w:rPr>
              <w:t>provode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kroz</w:t>
            </w:r>
            <w:proofErr w:type="spellEnd"/>
            <w:r w:rsidRPr="00EE6FFC">
              <w:rPr>
                <w:color w:val="000000"/>
              </w:rPr>
              <w:t xml:space="preserve"> EU </w:t>
            </w:r>
            <w:proofErr w:type="spellStart"/>
            <w:r w:rsidRPr="00EE6FFC">
              <w:rPr>
                <w:color w:val="000000"/>
              </w:rPr>
              <w:t>programe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primjenjuje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Ured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udruge</w:t>
            </w:r>
            <w:proofErr w:type="spellEnd"/>
            <w:r w:rsidRPr="00EE6FFC">
              <w:rPr>
                <w:color w:val="000000"/>
              </w:rPr>
              <w:t xml:space="preserve"> Vlade RH. </w:t>
            </w:r>
          </w:p>
          <w:p w14:paraId="1A603A74" w14:textId="5224D9CA" w:rsidR="00FA2545" w:rsidRPr="00EE6FFC" w:rsidRDefault="001E76D7" w:rsidP="001E76D7">
            <w:pPr>
              <w:pStyle w:val="StandardWeb"/>
              <w:rPr>
                <w:b/>
                <w:bCs/>
                <w:color w:val="000000"/>
              </w:rPr>
            </w:pPr>
            <w:proofErr w:type="spellStart"/>
            <w:r w:rsidRPr="00EE6FFC">
              <w:rPr>
                <w:b/>
                <w:bCs/>
                <w:color w:val="000000"/>
              </w:rPr>
              <w:t>Predlažemo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iz </w:t>
            </w:r>
            <w:proofErr w:type="spellStart"/>
            <w:r w:rsidRPr="00EE6FFC">
              <w:rPr>
                <w:b/>
                <w:bCs/>
                <w:color w:val="000000"/>
              </w:rPr>
              <w:t>točke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2. </w:t>
            </w:r>
            <w:proofErr w:type="spellStart"/>
            <w:r w:rsidRPr="00EE6FFC">
              <w:rPr>
                <w:b/>
                <w:bCs/>
                <w:color w:val="000000"/>
              </w:rPr>
              <w:t>članka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8. (80% </w:t>
            </w:r>
            <w:proofErr w:type="spellStart"/>
            <w:r w:rsidRPr="00EE6FFC">
              <w:rPr>
                <w:b/>
                <w:bCs/>
                <w:color w:val="000000"/>
              </w:rPr>
              <w:t>opravdanih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troškova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) </w:t>
            </w:r>
            <w:proofErr w:type="spellStart"/>
            <w:r w:rsidRPr="00EE6FFC">
              <w:rPr>
                <w:b/>
                <w:bCs/>
                <w:color w:val="000000"/>
              </w:rPr>
              <w:t>brisati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</w:p>
          <w:p w14:paraId="3331CBB4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- </w:t>
            </w:r>
            <w:proofErr w:type="spellStart"/>
            <w:r w:rsidRPr="00EE6FFC">
              <w:rPr>
                <w:color w:val="000000"/>
              </w:rPr>
              <w:t>programima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projektima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sličnim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aktivnostima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području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zaštite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okoliša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energetske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učinkovitosti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provode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organizacije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civilnog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proofErr w:type="gramStart"/>
            <w:r w:rsidRPr="00EE6FFC">
              <w:rPr>
                <w:color w:val="000000"/>
              </w:rPr>
              <w:t>društva</w:t>
            </w:r>
            <w:proofErr w:type="spellEnd"/>
            <w:r w:rsidRPr="00EE6FFC">
              <w:rPr>
                <w:color w:val="000000"/>
              </w:rPr>
              <w:t>;</w:t>
            </w:r>
            <w:proofErr w:type="gramEnd"/>
            <w:r w:rsidRPr="00EE6FFC">
              <w:rPr>
                <w:color w:val="000000"/>
              </w:rPr>
              <w:t xml:space="preserve"> </w:t>
            </w:r>
          </w:p>
          <w:p w14:paraId="4A278681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proofErr w:type="spellStart"/>
            <w:r w:rsidRPr="00EE6FFC">
              <w:rPr>
                <w:b/>
                <w:bCs/>
                <w:color w:val="000000"/>
              </w:rPr>
              <w:t>te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isto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dodati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u </w:t>
            </w:r>
            <w:proofErr w:type="spellStart"/>
            <w:r w:rsidRPr="00EE6FFC">
              <w:rPr>
                <w:b/>
                <w:bCs/>
                <w:color w:val="000000"/>
              </w:rPr>
              <w:t>točku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1. (100% </w:t>
            </w:r>
            <w:proofErr w:type="spellStart"/>
            <w:r w:rsidRPr="00EE6FFC">
              <w:rPr>
                <w:b/>
                <w:bCs/>
                <w:color w:val="000000"/>
              </w:rPr>
              <w:t>opravdanih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troškova</w:t>
            </w:r>
            <w:proofErr w:type="spellEnd"/>
            <w:r w:rsidRPr="00EE6FFC">
              <w:rPr>
                <w:b/>
                <w:bCs/>
                <w:color w:val="000000"/>
              </w:rPr>
              <w:t>)</w:t>
            </w:r>
            <w:r w:rsidRPr="00EE6FFC">
              <w:rPr>
                <w:color w:val="000000"/>
              </w:rPr>
              <w:t xml:space="preserve"> </w:t>
            </w:r>
          </w:p>
          <w:p w14:paraId="1E383057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proofErr w:type="spellStart"/>
            <w:r w:rsidRPr="00EE6FFC">
              <w:rPr>
                <w:color w:val="000000"/>
              </w:rPr>
              <w:t>Pozdravljamo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prijedlog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povećanja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vrijednosti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sufinanciranja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80% za </w:t>
            </w:r>
            <w:proofErr w:type="spellStart"/>
            <w:r w:rsidRPr="00EE6FFC">
              <w:rPr>
                <w:color w:val="000000"/>
              </w:rPr>
              <w:t>projekte</w:t>
            </w:r>
            <w:proofErr w:type="spellEnd"/>
            <w:r w:rsidRPr="00EE6FFC">
              <w:rPr>
                <w:color w:val="000000"/>
              </w:rPr>
              <w:t>/</w:t>
            </w:r>
            <w:proofErr w:type="spellStart"/>
            <w:r w:rsidRPr="00EE6FFC">
              <w:rPr>
                <w:color w:val="000000"/>
              </w:rPr>
              <w:t>programe</w:t>
            </w:r>
            <w:proofErr w:type="spellEnd"/>
            <w:r w:rsidRPr="00EE6FFC">
              <w:rPr>
                <w:color w:val="000000"/>
              </w:rPr>
              <w:t>/</w:t>
            </w:r>
            <w:proofErr w:type="spellStart"/>
            <w:r w:rsidRPr="00EE6FFC">
              <w:rPr>
                <w:color w:val="000000"/>
              </w:rPr>
              <w:t>aktivnosti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provode</w:t>
            </w:r>
            <w:proofErr w:type="spellEnd"/>
            <w:r w:rsidRPr="00EE6FFC">
              <w:rPr>
                <w:color w:val="000000"/>
              </w:rPr>
              <w:t xml:space="preserve"> OCD-i. </w:t>
            </w:r>
          </w:p>
          <w:p w14:paraId="4D5575A9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proofErr w:type="spellStart"/>
            <w:r w:rsidRPr="00EE6FFC">
              <w:rPr>
                <w:b/>
                <w:bCs/>
                <w:color w:val="000000"/>
              </w:rPr>
              <w:lastRenderedPageBreak/>
              <w:t>Međutim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EE6FFC">
              <w:rPr>
                <w:b/>
                <w:bCs/>
                <w:color w:val="000000"/>
              </w:rPr>
              <w:t>smatramo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kako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postotak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treba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biti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100% </w:t>
            </w:r>
            <w:proofErr w:type="spellStart"/>
            <w:r w:rsidRPr="00EE6FFC">
              <w:rPr>
                <w:b/>
                <w:bCs/>
                <w:color w:val="000000"/>
              </w:rPr>
              <w:t>te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OCD-i </w:t>
            </w:r>
            <w:proofErr w:type="spellStart"/>
            <w:r w:rsidRPr="00EE6FFC">
              <w:rPr>
                <w:b/>
                <w:bCs/>
                <w:color w:val="000000"/>
              </w:rPr>
              <w:t>trebaju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biti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svrstani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pod 1. </w:t>
            </w:r>
            <w:proofErr w:type="spellStart"/>
            <w:r w:rsidRPr="00EE6FFC">
              <w:rPr>
                <w:b/>
                <w:bCs/>
                <w:color w:val="000000"/>
              </w:rPr>
              <w:t>točku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članka</w:t>
            </w:r>
            <w:proofErr w:type="spellEnd"/>
            <w:r w:rsidRPr="00EE6FFC">
              <w:rPr>
                <w:color w:val="000000"/>
              </w:rPr>
              <w:t xml:space="preserve">. </w:t>
            </w:r>
          </w:p>
          <w:p w14:paraId="3C4D0EC8" w14:textId="7E866729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Naime, </w:t>
            </w:r>
            <w:proofErr w:type="spellStart"/>
            <w:r w:rsidRPr="00EE6FFC">
              <w:rPr>
                <w:color w:val="000000"/>
              </w:rPr>
              <w:t>Resorno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ministarstvo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prije</w:t>
            </w:r>
            <w:proofErr w:type="spellEnd"/>
            <w:r w:rsidRPr="00EE6FFC">
              <w:rPr>
                <w:color w:val="000000"/>
              </w:rPr>
              <w:t xml:space="preserve"> 2013. je </w:t>
            </w:r>
            <w:proofErr w:type="spellStart"/>
            <w:r w:rsidRPr="00EE6FFC">
              <w:rPr>
                <w:color w:val="000000"/>
              </w:rPr>
              <w:t>imalo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razvijen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sustav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financiranja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udruga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kroz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niz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godina</w:t>
            </w:r>
            <w:proofErr w:type="spellEnd"/>
            <w:r w:rsidRPr="00EE6FFC">
              <w:rPr>
                <w:color w:val="000000"/>
              </w:rPr>
              <w:t xml:space="preserve">, koji je bio </w:t>
            </w:r>
            <w:proofErr w:type="spellStart"/>
            <w:r w:rsidRPr="00EE6FFC">
              <w:rPr>
                <w:color w:val="000000"/>
              </w:rPr>
              <w:t>sličan</w:t>
            </w:r>
            <w:proofErr w:type="spellEnd"/>
            <w:r w:rsidRPr="00EE6FFC">
              <w:rPr>
                <w:color w:val="000000"/>
              </w:rPr>
              <w:t xml:space="preserve"> po </w:t>
            </w:r>
            <w:proofErr w:type="spellStart"/>
            <w:r w:rsidRPr="00EE6FFC">
              <w:rPr>
                <w:color w:val="000000"/>
              </w:rPr>
              <w:t>uvjetima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onima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ostalih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ministarstva</w:t>
            </w:r>
            <w:proofErr w:type="spellEnd"/>
            <w:r w:rsidRPr="00EE6FFC">
              <w:rPr>
                <w:color w:val="000000"/>
              </w:rPr>
              <w:t xml:space="preserve"> – 100% </w:t>
            </w:r>
            <w:proofErr w:type="spellStart"/>
            <w:r w:rsidRPr="00EE6FFC">
              <w:rPr>
                <w:color w:val="000000"/>
              </w:rPr>
              <w:t>financiranja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razvijen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način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odabira</w:t>
            </w:r>
            <w:proofErr w:type="spellEnd"/>
            <w:r w:rsidRPr="00EE6FFC">
              <w:rPr>
                <w:color w:val="000000"/>
              </w:rPr>
              <w:t xml:space="preserve"> s </w:t>
            </w:r>
            <w:proofErr w:type="spellStart"/>
            <w:r w:rsidRPr="00EE6FFC">
              <w:rPr>
                <w:color w:val="000000"/>
              </w:rPr>
              <w:t>temama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opsegom</w:t>
            </w:r>
            <w:proofErr w:type="spellEnd"/>
            <w:r w:rsidRPr="00EE6FFC">
              <w:rPr>
                <w:color w:val="000000"/>
              </w:rPr>
              <w:t xml:space="preserve"> koji </w:t>
            </w:r>
            <w:proofErr w:type="spellStart"/>
            <w:r w:rsidRPr="00EE6FFC">
              <w:rPr>
                <w:color w:val="000000"/>
              </w:rPr>
              <w:t>su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pratili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lokalne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probleme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razvijali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kapacitete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organizacija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civilnog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društva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bili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korak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prema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sudjelovanju</w:t>
            </w:r>
            <w:proofErr w:type="spellEnd"/>
            <w:r w:rsidRPr="00EE6FFC">
              <w:rPr>
                <w:color w:val="000000"/>
              </w:rPr>
              <w:t xml:space="preserve"> u EU </w:t>
            </w:r>
            <w:proofErr w:type="spellStart"/>
            <w:r w:rsidRPr="00EE6FFC">
              <w:rPr>
                <w:color w:val="000000"/>
              </w:rPr>
              <w:t>fondovima</w:t>
            </w:r>
            <w:proofErr w:type="spellEnd"/>
            <w:r w:rsidRPr="00EE6FFC">
              <w:rPr>
                <w:color w:val="000000"/>
              </w:rPr>
              <w:t xml:space="preserve">. Taj </w:t>
            </w:r>
            <w:proofErr w:type="spellStart"/>
            <w:r w:rsidRPr="00EE6FFC">
              <w:rPr>
                <w:color w:val="000000"/>
              </w:rPr>
              <w:t>sustav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financiranja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udruga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ukinut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ulaskom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Europsku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uniju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već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dugi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niz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godina</w:t>
            </w:r>
            <w:proofErr w:type="spellEnd"/>
            <w:r w:rsidRPr="00EE6FFC">
              <w:rPr>
                <w:color w:val="000000"/>
              </w:rPr>
              <w:t xml:space="preserve"> ne </w:t>
            </w:r>
            <w:proofErr w:type="spellStart"/>
            <w:r w:rsidRPr="00EE6FFC">
              <w:rPr>
                <w:color w:val="000000"/>
              </w:rPr>
              <w:t>postoje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takvi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nacionalni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natječaji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financiranje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projekata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programa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organizacija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civilnog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društva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od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interesa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opće</w:t>
            </w:r>
            <w:proofErr w:type="spellEnd"/>
            <w:r w:rsidRPr="00EE6FFC">
              <w:rPr>
                <w:color w:val="000000"/>
              </w:rPr>
              <w:t>/</w:t>
            </w:r>
            <w:proofErr w:type="spellStart"/>
            <w:r w:rsidRPr="00EE6FFC">
              <w:rPr>
                <w:color w:val="000000"/>
              </w:rPr>
              <w:t>javno</w:t>
            </w:r>
            <w:proofErr w:type="spellEnd"/>
            <w:r w:rsidRPr="00EE6FFC">
              <w:rPr>
                <w:color w:val="000000"/>
              </w:rPr>
              <w:t xml:space="preserve"> dobro. </w:t>
            </w:r>
            <w:proofErr w:type="spellStart"/>
            <w:r w:rsidRPr="00EE6FFC">
              <w:rPr>
                <w:color w:val="000000"/>
              </w:rPr>
              <w:t>Odluka</w:t>
            </w:r>
            <w:proofErr w:type="spellEnd"/>
            <w:r w:rsidRPr="00EE6FFC">
              <w:rPr>
                <w:color w:val="000000"/>
              </w:rPr>
              <w:t xml:space="preserve"> MINGOR-a, </w:t>
            </w:r>
            <w:proofErr w:type="spellStart"/>
            <w:r w:rsidRPr="00EE6FFC">
              <w:rPr>
                <w:color w:val="000000"/>
              </w:rPr>
              <w:t>zajedno</w:t>
            </w:r>
            <w:proofErr w:type="spellEnd"/>
            <w:r w:rsidRPr="00EE6FFC">
              <w:rPr>
                <w:color w:val="000000"/>
              </w:rPr>
              <w:t xml:space="preserve"> s </w:t>
            </w:r>
            <w:proofErr w:type="spellStart"/>
            <w:r w:rsidRPr="00EE6FFC">
              <w:rPr>
                <w:color w:val="000000"/>
              </w:rPr>
              <w:t>uvjetima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natječaja</w:t>
            </w:r>
            <w:proofErr w:type="spellEnd"/>
            <w:r w:rsidRPr="00EE6FFC">
              <w:rPr>
                <w:color w:val="000000"/>
              </w:rPr>
              <w:t xml:space="preserve"> FZOEU </w:t>
            </w:r>
            <w:proofErr w:type="spellStart"/>
            <w:r w:rsidRPr="00EE6FFC">
              <w:rPr>
                <w:color w:val="000000"/>
              </w:rPr>
              <w:t>su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iznimno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nepovoljno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djelovali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razvoj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manjih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udruga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lokalnim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sredinama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imale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značajan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utjecaj</w:t>
            </w:r>
            <w:proofErr w:type="spellEnd"/>
            <w:r w:rsidRPr="00EE6FFC">
              <w:rPr>
                <w:color w:val="000000"/>
              </w:rPr>
              <w:t xml:space="preserve">, a </w:t>
            </w:r>
            <w:proofErr w:type="spellStart"/>
            <w:r w:rsidRPr="00EE6FFC">
              <w:rPr>
                <w:color w:val="000000"/>
              </w:rPr>
              <w:t>često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doveli</w:t>
            </w:r>
            <w:proofErr w:type="spellEnd"/>
            <w:r w:rsidRPr="00EE6FFC">
              <w:rPr>
                <w:color w:val="000000"/>
              </w:rPr>
              <w:t xml:space="preserve"> i do </w:t>
            </w:r>
            <w:proofErr w:type="spellStart"/>
            <w:r w:rsidRPr="00EE6FFC">
              <w:rPr>
                <w:color w:val="000000"/>
              </w:rPr>
              <w:t>njihovog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gašenja</w:t>
            </w:r>
            <w:proofErr w:type="spellEnd"/>
            <w:r w:rsidRPr="00EE6FFC">
              <w:rPr>
                <w:color w:val="000000"/>
              </w:rPr>
              <w:t xml:space="preserve">. Naime, ne </w:t>
            </w:r>
            <w:proofErr w:type="spellStart"/>
            <w:r w:rsidRPr="00EE6FFC">
              <w:rPr>
                <w:color w:val="000000"/>
              </w:rPr>
              <w:t>može</w:t>
            </w:r>
            <w:proofErr w:type="spellEnd"/>
            <w:r w:rsidRPr="00EE6FFC">
              <w:rPr>
                <w:color w:val="000000"/>
              </w:rPr>
              <w:t xml:space="preserve"> i ne </w:t>
            </w:r>
            <w:proofErr w:type="spellStart"/>
            <w:r w:rsidRPr="00EE6FFC">
              <w:rPr>
                <w:color w:val="000000"/>
              </w:rPr>
              <w:t>treba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svaka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udruga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grupa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građana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krenuti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profesionalizaciju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razvijanje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gospodarske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djelatnosti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provođenje</w:t>
            </w:r>
            <w:proofErr w:type="spellEnd"/>
            <w:r w:rsidRPr="00EE6FFC">
              <w:rPr>
                <w:color w:val="000000"/>
              </w:rPr>
              <w:t xml:space="preserve"> EU </w:t>
            </w:r>
            <w:proofErr w:type="spellStart"/>
            <w:r w:rsidRPr="00EE6FFC">
              <w:rPr>
                <w:color w:val="000000"/>
              </w:rPr>
              <w:t>projekata</w:t>
            </w:r>
            <w:proofErr w:type="spellEnd"/>
            <w:r w:rsidRPr="00EE6FFC">
              <w:rPr>
                <w:color w:val="000000"/>
              </w:rPr>
              <w:t xml:space="preserve">, a </w:t>
            </w:r>
            <w:proofErr w:type="spellStart"/>
            <w:r w:rsidRPr="00EE6FFC">
              <w:rPr>
                <w:color w:val="000000"/>
              </w:rPr>
              <w:t>što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omogućuje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pronalazak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sredstva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sufinanciranje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Udruge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kao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dio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svojih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lokalnih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zajednica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između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ostalog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upozoravaju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zagađenje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štetne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educiraju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javnost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pripremaju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provode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projekte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kojima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lokalnim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zajednicama</w:t>
            </w:r>
            <w:proofErr w:type="spellEnd"/>
            <w:r w:rsidR="00FA35FA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osiguravaju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infrastrukturu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opremu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rade</w:t>
            </w:r>
            <w:proofErr w:type="spellEnd"/>
            <w:r w:rsidRPr="00EE6FFC">
              <w:rPr>
                <w:color w:val="000000"/>
              </w:rPr>
              <w:t xml:space="preserve"> s </w:t>
            </w:r>
            <w:proofErr w:type="spellStart"/>
            <w:r w:rsidRPr="00EE6FFC">
              <w:rPr>
                <w:color w:val="000000"/>
              </w:rPr>
              <w:t>ranjivim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skupinama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čuvaju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bioraznolikost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sudjeluju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aktivnostima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zaštićenim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lastRenderedPageBreak/>
              <w:t>područjima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prirode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osiguravanju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čiste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vode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tla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zraka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obnovljivih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izvora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energije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146522">
              <w:t>pomažu</w:t>
            </w:r>
            <w:proofErr w:type="spellEnd"/>
            <w:r w:rsidRPr="00EE6FFC">
              <w:rPr>
                <w:color w:val="000000"/>
              </w:rPr>
              <w:t xml:space="preserve"> u </w:t>
            </w:r>
            <w:proofErr w:type="spellStart"/>
            <w:r w:rsidRPr="00EE6FFC">
              <w:rPr>
                <w:color w:val="000000"/>
              </w:rPr>
              <w:t>boljem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gospodarenju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otpadom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Često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nadoknađuju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nepokrivenost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teritorija</w:t>
            </w:r>
            <w:proofErr w:type="spellEnd"/>
            <w:r w:rsidRPr="00EE6FFC">
              <w:rPr>
                <w:color w:val="000000"/>
              </w:rPr>
              <w:t xml:space="preserve"> RH </w:t>
            </w:r>
            <w:proofErr w:type="spellStart"/>
            <w:r w:rsidRPr="00EE6FFC">
              <w:rPr>
                <w:color w:val="000000"/>
              </w:rPr>
              <w:t>inspekcijskim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službama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stvaraju</w:t>
            </w:r>
            <w:proofErr w:type="spellEnd"/>
            <w:r w:rsidRPr="00EE6FFC">
              <w:rPr>
                <w:color w:val="000000"/>
              </w:rPr>
              <w:t xml:space="preserve"> nova </w:t>
            </w:r>
            <w:proofErr w:type="spellStart"/>
            <w:r w:rsidRPr="00EE6FFC">
              <w:rPr>
                <w:color w:val="000000"/>
              </w:rPr>
              <w:t>radna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mjesta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Podsjećamo</w:t>
            </w:r>
            <w:proofErr w:type="spellEnd"/>
            <w:r w:rsidRPr="00EE6FFC">
              <w:rPr>
                <w:color w:val="000000"/>
              </w:rPr>
              <w:t xml:space="preserve"> da </w:t>
            </w:r>
            <w:proofErr w:type="spellStart"/>
            <w:r w:rsidRPr="00EE6FFC">
              <w:rPr>
                <w:color w:val="000000"/>
              </w:rPr>
              <w:t>ostala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tijela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državne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uprave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projekte</w:t>
            </w:r>
            <w:proofErr w:type="spellEnd"/>
            <w:r w:rsidRPr="00EE6FFC">
              <w:rPr>
                <w:color w:val="000000"/>
              </w:rPr>
              <w:t xml:space="preserve"> OCD-e </w:t>
            </w:r>
            <w:proofErr w:type="spellStart"/>
            <w:r w:rsidRPr="00EE6FFC">
              <w:rPr>
                <w:color w:val="000000"/>
              </w:rPr>
              <w:t>iz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ostalih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sektora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godinama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osiguravaju</w:t>
            </w:r>
            <w:proofErr w:type="spellEnd"/>
            <w:r w:rsidRPr="00EE6FFC">
              <w:rPr>
                <w:color w:val="000000"/>
              </w:rPr>
              <w:t xml:space="preserve"> 100 % </w:t>
            </w:r>
            <w:proofErr w:type="spellStart"/>
            <w:r w:rsidRPr="00EE6FFC">
              <w:rPr>
                <w:color w:val="000000"/>
              </w:rPr>
              <w:t>financiranje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gramStart"/>
            <w:r w:rsidRPr="00EE6FFC">
              <w:rPr>
                <w:color w:val="000000"/>
              </w:rPr>
              <w:t xml:space="preserve">( </w:t>
            </w:r>
            <w:proofErr w:type="spellStart"/>
            <w:r w:rsidRPr="00EE6FFC">
              <w:rPr>
                <w:color w:val="000000"/>
              </w:rPr>
              <w:t>npr</w:t>
            </w:r>
            <w:proofErr w:type="spellEnd"/>
            <w:proofErr w:type="gram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Ministarstvo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turizma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sporta</w:t>
            </w:r>
            <w:proofErr w:type="spellEnd"/>
            <w:r w:rsidRPr="00EE6FFC">
              <w:rPr>
                <w:color w:val="000000"/>
              </w:rPr>
              <w:t xml:space="preserve"> (MINTS), </w:t>
            </w:r>
            <w:proofErr w:type="spellStart"/>
            <w:r w:rsidRPr="00EE6FFC">
              <w:rPr>
                <w:color w:val="000000"/>
              </w:rPr>
              <w:t>Ministarstvo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znanosti</w:t>
            </w:r>
            <w:proofErr w:type="spellEnd"/>
            <w:r w:rsidRPr="00EE6FFC">
              <w:rPr>
                <w:color w:val="000000"/>
              </w:rPr>
              <w:t xml:space="preserve"> (MZO) i </w:t>
            </w:r>
            <w:proofErr w:type="spellStart"/>
            <w:r w:rsidRPr="00EE6FFC">
              <w:rPr>
                <w:color w:val="000000"/>
              </w:rPr>
              <w:t>dr.</w:t>
            </w:r>
            <w:proofErr w:type="spellEnd"/>
            <w:r w:rsidRPr="00EE6FFC">
              <w:rPr>
                <w:color w:val="000000"/>
              </w:rPr>
              <w:t xml:space="preserve">) </w:t>
            </w:r>
          </w:p>
          <w:p w14:paraId="6C598149" w14:textId="77777777" w:rsidR="00FA2545" w:rsidRPr="00EE6FFC" w:rsidRDefault="001E76D7" w:rsidP="001E76D7">
            <w:pPr>
              <w:pStyle w:val="StandardWeb"/>
              <w:rPr>
                <w:b/>
                <w:bCs/>
                <w:color w:val="000000"/>
              </w:rPr>
            </w:pPr>
            <w:proofErr w:type="spellStart"/>
            <w:r w:rsidRPr="00EE6FFC">
              <w:rPr>
                <w:b/>
                <w:bCs/>
                <w:color w:val="000000"/>
              </w:rPr>
              <w:t>Predlažemo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dopunu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članka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9. </w:t>
            </w:r>
            <w:proofErr w:type="spellStart"/>
            <w:r w:rsidRPr="00EE6FFC">
              <w:rPr>
                <w:b/>
                <w:bCs/>
                <w:color w:val="000000"/>
              </w:rPr>
              <w:t>stavka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2 </w:t>
            </w:r>
            <w:proofErr w:type="spellStart"/>
            <w:r w:rsidRPr="00EE6FFC">
              <w:rPr>
                <w:b/>
                <w:bCs/>
                <w:color w:val="000000"/>
              </w:rPr>
              <w:t>kako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slijedi</w:t>
            </w:r>
            <w:proofErr w:type="spellEnd"/>
            <w:r w:rsidRPr="00EE6FFC">
              <w:rPr>
                <w:b/>
                <w:bCs/>
                <w:color w:val="000000"/>
              </w:rPr>
              <w:t>:</w:t>
            </w:r>
          </w:p>
          <w:p w14:paraId="0742CA8B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 Pod </w:t>
            </w:r>
            <w:proofErr w:type="spellStart"/>
            <w:r w:rsidRPr="00EE6FFC">
              <w:rPr>
                <w:color w:val="000000"/>
              </w:rPr>
              <w:t>vlastitim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udjelom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korisnika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sredstava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razumijevaju</w:t>
            </w:r>
            <w:proofErr w:type="spellEnd"/>
            <w:r w:rsidRPr="00EE6FFC">
              <w:rPr>
                <w:color w:val="000000"/>
              </w:rPr>
              <w:t xml:space="preserve"> se:</w:t>
            </w:r>
          </w:p>
          <w:p w14:paraId="5637622C" w14:textId="25BE0E99" w:rsidR="00FA2545" w:rsidRPr="00EE6FFC" w:rsidRDefault="001E76D7" w:rsidP="001E76D7">
            <w:pPr>
              <w:pStyle w:val="StandardWeb"/>
              <w:rPr>
                <w:b/>
                <w:bCs/>
                <w:color w:val="000000"/>
              </w:rPr>
            </w:pPr>
            <w:r w:rsidRPr="00EE6FFC">
              <w:rPr>
                <w:color w:val="000000"/>
              </w:rPr>
              <w:t xml:space="preserve"> </w:t>
            </w:r>
            <w:r w:rsidRPr="00EE6FFC">
              <w:rPr>
                <w:b/>
                <w:bCs/>
                <w:color w:val="000000"/>
              </w:rPr>
              <w:t xml:space="preserve">- </w:t>
            </w:r>
            <w:proofErr w:type="spellStart"/>
            <w:r w:rsidRPr="00EE6FFC">
              <w:rPr>
                <w:b/>
                <w:bCs/>
                <w:color w:val="000000"/>
              </w:rPr>
              <w:t>volonterski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sati u OCD-</w:t>
            </w:r>
            <w:proofErr w:type="spellStart"/>
            <w:r w:rsidRPr="00EE6FFC">
              <w:rPr>
                <w:b/>
                <w:bCs/>
                <w:color w:val="000000"/>
              </w:rPr>
              <w:t>ovima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</w:p>
          <w:p w14:paraId="654369AD" w14:textId="77777777" w:rsidR="0010210A" w:rsidRDefault="0010210A" w:rsidP="001E76D7">
            <w:pPr>
              <w:pStyle w:val="StandardWeb"/>
              <w:rPr>
                <w:b/>
                <w:bCs/>
                <w:color w:val="000000"/>
              </w:rPr>
            </w:pPr>
          </w:p>
          <w:p w14:paraId="25F14105" w14:textId="2F017071" w:rsidR="00FA2545" w:rsidRPr="00EE6FFC" w:rsidRDefault="001E76D7" w:rsidP="001E76D7">
            <w:pPr>
              <w:pStyle w:val="StandardWeb"/>
              <w:rPr>
                <w:color w:val="000000"/>
              </w:rPr>
            </w:pPr>
            <w:proofErr w:type="spellStart"/>
            <w:r w:rsidRPr="00EE6FFC">
              <w:rPr>
                <w:b/>
                <w:bCs/>
                <w:color w:val="000000"/>
              </w:rPr>
              <w:t>Prihvatljivi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troškovi</w:t>
            </w:r>
            <w:proofErr w:type="spellEnd"/>
            <w:r w:rsidRPr="00EE6FFC">
              <w:rPr>
                <w:b/>
                <w:bCs/>
                <w:color w:val="000000"/>
              </w:rPr>
              <w:t>.</w:t>
            </w:r>
            <w:r w:rsidRPr="00EE6FFC">
              <w:rPr>
                <w:color w:val="000000"/>
              </w:rPr>
              <w:t xml:space="preserve"> </w:t>
            </w:r>
          </w:p>
          <w:p w14:paraId="722D86E1" w14:textId="579C6591" w:rsidR="00FA2545" w:rsidRPr="00EE6FFC" w:rsidRDefault="001E76D7" w:rsidP="001E76D7">
            <w:pPr>
              <w:pStyle w:val="StandardWeb"/>
              <w:rPr>
                <w:b/>
                <w:bCs/>
                <w:color w:val="000000"/>
              </w:rPr>
            </w:pPr>
            <w:proofErr w:type="spellStart"/>
            <w:r w:rsidRPr="00EE6FFC">
              <w:rPr>
                <w:b/>
                <w:bCs/>
                <w:color w:val="000000"/>
              </w:rPr>
              <w:t>Predlažemo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dopunu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članka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19. </w:t>
            </w:r>
            <w:proofErr w:type="spellStart"/>
            <w:r w:rsidRPr="00EE6FFC">
              <w:rPr>
                <w:b/>
                <w:bCs/>
                <w:color w:val="000000"/>
              </w:rPr>
              <w:t>stavka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3 </w:t>
            </w:r>
            <w:proofErr w:type="spellStart"/>
            <w:r w:rsidRPr="00EE6FFC">
              <w:rPr>
                <w:b/>
                <w:bCs/>
                <w:color w:val="000000"/>
              </w:rPr>
              <w:t>kako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slijedi</w:t>
            </w:r>
            <w:proofErr w:type="spellEnd"/>
            <w:r w:rsidRPr="00EE6FFC">
              <w:rPr>
                <w:b/>
                <w:bCs/>
                <w:color w:val="000000"/>
              </w:rPr>
              <w:t>:</w:t>
            </w:r>
          </w:p>
          <w:p w14:paraId="0B64E4E6" w14:textId="77777777" w:rsidR="00912B47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 (3) </w:t>
            </w:r>
            <w:proofErr w:type="spellStart"/>
            <w:r w:rsidRPr="00EE6FFC">
              <w:rPr>
                <w:color w:val="000000"/>
              </w:rPr>
              <w:t>Troškovi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programa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projekata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sličnih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aktivnosti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smatraju</w:t>
            </w:r>
            <w:proofErr w:type="spellEnd"/>
            <w:r w:rsidRPr="00EE6FFC">
              <w:rPr>
                <w:color w:val="000000"/>
              </w:rPr>
              <w:t xml:space="preserve"> se </w:t>
            </w:r>
            <w:proofErr w:type="spellStart"/>
            <w:r w:rsidRPr="00EE6FFC">
              <w:rPr>
                <w:color w:val="000000"/>
              </w:rPr>
              <w:t>prihvatljivima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ako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</w:t>
            </w:r>
            <w:proofErr w:type="spellEnd"/>
            <w:r w:rsidRPr="00EE6FFC">
              <w:rPr>
                <w:color w:val="000000"/>
              </w:rPr>
              <w:t xml:space="preserve">: </w:t>
            </w:r>
          </w:p>
          <w:p w14:paraId="076B1894" w14:textId="77777777" w:rsidR="00912B47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b/>
                <w:bCs/>
                <w:color w:val="000000"/>
              </w:rPr>
              <w:t xml:space="preserve">- </w:t>
            </w:r>
            <w:proofErr w:type="spellStart"/>
            <w:r w:rsidRPr="00EE6FFC">
              <w:rPr>
                <w:b/>
                <w:bCs/>
                <w:color w:val="000000"/>
              </w:rPr>
              <w:t>povezani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s </w:t>
            </w:r>
            <w:proofErr w:type="spellStart"/>
            <w:r w:rsidRPr="00EE6FFC">
              <w:rPr>
                <w:b/>
                <w:bCs/>
                <w:color w:val="000000"/>
              </w:rPr>
              <w:t>troškovima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uobičajene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djelatnosti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korisnika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EE6FFC">
              <w:rPr>
                <w:b/>
                <w:bCs/>
                <w:color w:val="000000"/>
              </w:rPr>
              <w:t>udruge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) u </w:t>
            </w:r>
            <w:proofErr w:type="spellStart"/>
            <w:r w:rsidRPr="00EE6FFC">
              <w:rPr>
                <w:b/>
                <w:bCs/>
                <w:color w:val="000000"/>
              </w:rPr>
              <w:t>određenom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postotku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od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ukupnog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iznosa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troškova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izravno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povezanih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s </w:t>
            </w:r>
            <w:proofErr w:type="spellStart"/>
            <w:r w:rsidRPr="00EE6FFC">
              <w:rPr>
                <w:b/>
                <w:bCs/>
                <w:color w:val="000000"/>
              </w:rPr>
              <w:t>aktivnostima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, po </w:t>
            </w:r>
            <w:proofErr w:type="spellStart"/>
            <w:r w:rsidRPr="00EE6FFC">
              <w:rPr>
                <w:b/>
                <w:bCs/>
                <w:color w:val="000000"/>
              </w:rPr>
              <w:t>uzoru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na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provedbu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EU </w:t>
            </w:r>
            <w:proofErr w:type="spellStart"/>
            <w:r w:rsidRPr="00EE6FFC">
              <w:rPr>
                <w:b/>
                <w:bCs/>
                <w:color w:val="000000"/>
              </w:rPr>
              <w:t>projekata</w:t>
            </w:r>
            <w:proofErr w:type="spellEnd"/>
            <w:r w:rsidRPr="00EE6FFC">
              <w:rPr>
                <w:color w:val="000000"/>
              </w:rPr>
              <w:t xml:space="preserve"> </w:t>
            </w:r>
          </w:p>
          <w:p w14:paraId="5991C413" w14:textId="38AE07B9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Naime,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gore </w:t>
            </w:r>
            <w:proofErr w:type="spellStart"/>
            <w:r w:rsidRPr="00EE6FFC">
              <w:rPr>
                <w:color w:val="000000"/>
              </w:rPr>
              <w:t>spomenutom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sastanku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detaljno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obrazložili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zašto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važno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priznati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indirektne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troškove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lastRenderedPageBreak/>
              <w:t>projekata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istaknuli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kako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oni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uobičajeni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sve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nacionalne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međunarodne</w:t>
            </w:r>
            <w:proofErr w:type="spellEnd"/>
            <w:r w:rsidRPr="00EE6FFC">
              <w:rPr>
                <w:color w:val="000000"/>
              </w:rPr>
              <w:t xml:space="preserve"> i EU </w:t>
            </w:r>
            <w:proofErr w:type="spellStart"/>
            <w:r w:rsidRPr="00EE6FFC">
              <w:rPr>
                <w:color w:val="000000"/>
              </w:rPr>
              <w:t>projekte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sastavni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dio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troškova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provedbe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projekta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Nadalje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ukoliko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traže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sufinanciranje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indirektni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troškovi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jedan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od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oblika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sufinanciranja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projekta</w:t>
            </w:r>
            <w:proofErr w:type="spellEnd"/>
            <w:r w:rsidRPr="00EE6FFC">
              <w:rPr>
                <w:color w:val="000000"/>
              </w:rPr>
              <w:t xml:space="preserve">. </w:t>
            </w:r>
          </w:p>
          <w:p w14:paraId="5D950904" w14:textId="72FDCE46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U </w:t>
            </w:r>
            <w:proofErr w:type="spellStart"/>
            <w:r w:rsidRPr="00EE6FFC">
              <w:rPr>
                <w:color w:val="000000"/>
              </w:rPr>
              <w:t>članku</w:t>
            </w:r>
            <w:proofErr w:type="spellEnd"/>
            <w:r w:rsidRPr="00EE6FFC">
              <w:rPr>
                <w:color w:val="000000"/>
              </w:rPr>
              <w:t xml:space="preserve"> 24. u </w:t>
            </w:r>
            <w:proofErr w:type="spellStart"/>
            <w:r w:rsidRPr="00EE6FFC">
              <w:rPr>
                <w:color w:val="000000"/>
              </w:rPr>
              <w:t>stavku</w:t>
            </w:r>
            <w:proofErr w:type="spellEnd"/>
            <w:r w:rsidRPr="00EE6FFC">
              <w:rPr>
                <w:color w:val="000000"/>
              </w:rPr>
              <w:t xml:space="preserve"> (2) </w:t>
            </w:r>
            <w:proofErr w:type="spellStart"/>
            <w:r w:rsidRPr="00EE6FFC">
              <w:rPr>
                <w:color w:val="000000"/>
              </w:rPr>
              <w:t>navedeno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kako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iznimno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korisnik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sredstava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može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ostvariti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pravo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avansna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sredstva</w:t>
            </w:r>
            <w:proofErr w:type="spellEnd"/>
            <w:r w:rsidRPr="00EE6FFC">
              <w:rPr>
                <w:color w:val="000000"/>
              </w:rPr>
              <w:t xml:space="preserve">. Ovo </w:t>
            </w:r>
            <w:proofErr w:type="spellStart"/>
            <w:r w:rsidRPr="00EE6FFC">
              <w:rPr>
                <w:color w:val="000000"/>
              </w:rPr>
              <w:t>otvara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mogućnost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predfinanciranja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projekata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organizacija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civilnoga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društva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što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naveli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kao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jedan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od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problema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="00912B47"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sastanku</w:t>
            </w:r>
            <w:proofErr w:type="spellEnd"/>
            <w:r w:rsidRPr="00EE6FFC">
              <w:rPr>
                <w:color w:val="000000"/>
              </w:rPr>
              <w:t xml:space="preserve">, a </w:t>
            </w:r>
            <w:proofErr w:type="spellStart"/>
            <w:r w:rsidRPr="00EE6FFC">
              <w:rPr>
                <w:color w:val="000000"/>
              </w:rPr>
              <w:t>vezano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uz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provedbu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projekata</w:t>
            </w:r>
            <w:proofErr w:type="spellEnd"/>
            <w:r w:rsidRPr="00EE6FFC">
              <w:rPr>
                <w:color w:val="000000"/>
              </w:rPr>
              <w:t xml:space="preserve"> OCD-a. </w:t>
            </w:r>
            <w:proofErr w:type="spellStart"/>
            <w:r w:rsidRPr="00EE6FFC">
              <w:rPr>
                <w:color w:val="000000"/>
              </w:rPr>
              <w:t>Međutim</w:t>
            </w:r>
            <w:proofErr w:type="spellEnd"/>
            <w:r w:rsidRPr="00EE6FFC">
              <w:rPr>
                <w:color w:val="000000"/>
              </w:rPr>
              <w:t xml:space="preserve">, u </w:t>
            </w:r>
            <w:proofErr w:type="spellStart"/>
            <w:r w:rsidRPr="00EE6FFC">
              <w:rPr>
                <w:color w:val="000000"/>
              </w:rPr>
              <w:t>Pravilniku</w:t>
            </w:r>
            <w:proofErr w:type="spellEnd"/>
            <w:r w:rsidRPr="00EE6FFC">
              <w:rPr>
                <w:color w:val="000000"/>
              </w:rPr>
              <w:t xml:space="preserve"> i u </w:t>
            </w:r>
            <w:proofErr w:type="spellStart"/>
            <w:r w:rsidRPr="00EE6FFC">
              <w:rPr>
                <w:color w:val="000000"/>
              </w:rPr>
              <w:t>spomenutom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članku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nije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navedeno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što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znači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iznimka</w:t>
            </w:r>
            <w:proofErr w:type="spellEnd"/>
            <w:r w:rsidRPr="00EE6FFC">
              <w:rPr>
                <w:color w:val="000000"/>
              </w:rPr>
              <w:t>.</w:t>
            </w:r>
          </w:p>
          <w:p w14:paraId="2B1CB439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Predlažemo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dopunu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članka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24. </w:t>
            </w:r>
            <w:proofErr w:type="spellStart"/>
            <w:r w:rsidRPr="00EE6FFC">
              <w:rPr>
                <w:b/>
                <w:bCs/>
                <w:color w:val="000000"/>
              </w:rPr>
              <w:t>riječima</w:t>
            </w:r>
            <w:proofErr w:type="spellEnd"/>
            <w:r w:rsidRPr="00EE6FFC">
              <w:rPr>
                <w:color w:val="000000"/>
              </w:rPr>
              <w:t xml:space="preserve">: </w:t>
            </w:r>
          </w:p>
          <w:p w14:paraId="747A3C8C" w14:textId="77777777" w:rsidR="00FA2545" w:rsidRPr="00EE6FFC" w:rsidRDefault="001E76D7" w:rsidP="001E76D7">
            <w:pPr>
              <w:pStyle w:val="StandardWeb"/>
              <w:rPr>
                <w:color w:val="000000"/>
              </w:rPr>
            </w:pPr>
            <w:proofErr w:type="spellStart"/>
            <w:r w:rsidRPr="00EE6FFC">
              <w:rPr>
                <w:b/>
                <w:bCs/>
                <w:color w:val="000000"/>
              </w:rPr>
              <w:t>Pravo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na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avansnu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uplatu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ostvaruju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i </w:t>
            </w:r>
            <w:proofErr w:type="spellStart"/>
            <w:r w:rsidRPr="00EE6FFC">
              <w:rPr>
                <w:b/>
                <w:bCs/>
                <w:color w:val="000000"/>
              </w:rPr>
              <w:t>organizacije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civilnoga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društva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, a </w:t>
            </w:r>
            <w:proofErr w:type="spellStart"/>
            <w:r w:rsidRPr="00EE6FFC">
              <w:rPr>
                <w:b/>
                <w:bCs/>
                <w:color w:val="000000"/>
              </w:rPr>
              <w:t>uvjeti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se </w:t>
            </w:r>
            <w:proofErr w:type="spellStart"/>
            <w:r w:rsidRPr="00EE6FFC">
              <w:rPr>
                <w:b/>
                <w:bCs/>
                <w:color w:val="000000"/>
              </w:rPr>
              <w:t>utvrđuju</w:t>
            </w:r>
            <w:proofErr w:type="spellEnd"/>
            <w:r w:rsidRPr="00EE6F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E6FFC">
              <w:rPr>
                <w:b/>
                <w:bCs/>
                <w:color w:val="000000"/>
              </w:rPr>
              <w:t>natječajem</w:t>
            </w:r>
            <w:proofErr w:type="spellEnd"/>
            <w:r w:rsidRPr="00EE6FFC">
              <w:rPr>
                <w:b/>
                <w:bCs/>
                <w:color w:val="000000"/>
              </w:rPr>
              <w:t>.</w:t>
            </w:r>
            <w:r w:rsidRPr="00EE6FFC">
              <w:rPr>
                <w:color w:val="000000"/>
              </w:rPr>
              <w:t xml:space="preserve"> </w:t>
            </w:r>
          </w:p>
          <w:p w14:paraId="4489398C" w14:textId="073AC3E7" w:rsidR="001E76D7" w:rsidRPr="00EE6FFC" w:rsidRDefault="001E76D7" w:rsidP="001E76D7">
            <w:pPr>
              <w:pStyle w:val="StandardWeb"/>
              <w:rPr>
                <w:color w:val="000000"/>
              </w:rPr>
            </w:pPr>
            <w:proofErr w:type="spellStart"/>
            <w:r w:rsidRPr="00EE6FFC">
              <w:rPr>
                <w:color w:val="000000"/>
              </w:rPr>
              <w:t>Podsjećamo</w:t>
            </w:r>
            <w:proofErr w:type="spellEnd"/>
            <w:r w:rsidRPr="00EE6FFC">
              <w:rPr>
                <w:color w:val="000000"/>
              </w:rPr>
              <w:t xml:space="preserve"> da </w:t>
            </w:r>
            <w:proofErr w:type="spellStart"/>
            <w:r w:rsidRPr="00EE6FFC">
              <w:rPr>
                <w:color w:val="000000"/>
              </w:rPr>
              <w:t>smo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na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sastanku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istaknuli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kako</w:t>
            </w:r>
            <w:proofErr w:type="spellEnd"/>
            <w:r w:rsidRPr="00EE6FFC">
              <w:rPr>
                <w:color w:val="000000"/>
              </w:rPr>
              <w:t xml:space="preserve"> je </w:t>
            </w:r>
            <w:proofErr w:type="spellStart"/>
            <w:r w:rsidRPr="00EE6FFC">
              <w:rPr>
                <w:color w:val="000000"/>
              </w:rPr>
              <w:t>čest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tijek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isplate</w:t>
            </w:r>
            <w:proofErr w:type="spellEnd"/>
            <w:r w:rsidRPr="00EE6FFC">
              <w:rPr>
                <w:color w:val="000000"/>
              </w:rPr>
              <w:t xml:space="preserve"> za </w:t>
            </w:r>
            <w:proofErr w:type="spellStart"/>
            <w:r w:rsidRPr="00EE6FFC">
              <w:rPr>
                <w:color w:val="000000"/>
              </w:rPr>
              <w:t>nacionalne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međunarodne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projekte</w:t>
            </w:r>
            <w:proofErr w:type="spellEnd"/>
            <w:r w:rsidRPr="00EE6FFC">
              <w:rPr>
                <w:color w:val="000000"/>
              </w:rPr>
              <w:t xml:space="preserve"> OCD-a 50% </w:t>
            </w:r>
            <w:proofErr w:type="spellStart"/>
            <w:r w:rsidRPr="00EE6FFC">
              <w:rPr>
                <w:color w:val="000000"/>
              </w:rPr>
              <w:t>prilikom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ugovaranja</w:t>
            </w:r>
            <w:proofErr w:type="spellEnd"/>
            <w:r w:rsidRPr="00EE6FFC">
              <w:rPr>
                <w:color w:val="000000"/>
              </w:rPr>
              <w:t xml:space="preserve">, 30% </w:t>
            </w:r>
            <w:proofErr w:type="spellStart"/>
            <w:r w:rsidRPr="00EE6FFC">
              <w:rPr>
                <w:color w:val="000000"/>
              </w:rPr>
              <w:t>nakon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predanog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odobrenog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među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izvještaja</w:t>
            </w:r>
            <w:proofErr w:type="spellEnd"/>
            <w:r w:rsidRPr="00EE6FFC">
              <w:rPr>
                <w:color w:val="000000"/>
              </w:rPr>
              <w:t xml:space="preserve">, 20% </w:t>
            </w:r>
            <w:proofErr w:type="spellStart"/>
            <w:r w:rsidRPr="00EE6FFC">
              <w:rPr>
                <w:color w:val="000000"/>
              </w:rPr>
              <w:t>nakon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predanog</w:t>
            </w:r>
            <w:proofErr w:type="spellEnd"/>
            <w:r w:rsidRPr="00EE6FFC">
              <w:rPr>
                <w:color w:val="000000"/>
              </w:rPr>
              <w:t xml:space="preserve"> i </w:t>
            </w:r>
            <w:proofErr w:type="spellStart"/>
            <w:r w:rsidRPr="00EE6FFC">
              <w:rPr>
                <w:color w:val="000000"/>
              </w:rPr>
              <w:t>odobrenog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završnog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izvještaja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Isplatom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avansno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tj</w:t>
            </w:r>
            <w:proofErr w:type="spellEnd"/>
            <w:r w:rsidRPr="00EE6FFC">
              <w:rPr>
                <w:color w:val="000000"/>
              </w:rPr>
              <w:t xml:space="preserve">. </w:t>
            </w:r>
            <w:proofErr w:type="spellStart"/>
            <w:r w:rsidRPr="00EE6FFC">
              <w:rPr>
                <w:color w:val="000000"/>
              </w:rPr>
              <w:t>unaprijed</w:t>
            </w:r>
            <w:proofErr w:type="spellEnd"/>
            <w:r w:rsidRPr="00EE6FFC">
              <w:rPr>
                <w:color w:val="000000"/>
              </w:rPr>
              <w:t xml:space="preserve"> FZOEU </w:t>
            </w:r>
            <w:proofErr w:type="spellStart"/>
            <w:r w:rsidRPr="00EE6FFC">
              <w:rPr>
                <w:color w:val="000000"/>
              </w:rPr>
              <w:t>omogućit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će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uspješnu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provedbu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projekta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te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doprinijeti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financijskoj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održivosti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okolišnih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udruga</w:t>
            </w:r>
            <w:proofErr w:type="spellEnd"/>
            <w:r w:rsidRPr="00EE6FFC">
              <w:rPr>
                <w:color w:val="000000"/>
              </w:rPr>
              <w:t xml:space="preserve">, </w:t>
            </w:r>
            <w:proofErr w:type="spellStart"/>
            <w:r w:rsidRPr="00EE6FFC">
              <w:rPr>
                <w:color w:val="000000"/>
              </w:rPr>
              <w:t>poglavito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onih</w:t>
            </w:r>
            <w:proofErr w:type="spellEnd"/>
            <w:r w:rsidRPr="00EE6FFC">
              <w:rPr>
                <w:color w:val="000000"/>
              </w:rPr>
              <w:t xml:space="preserve"> </w:t>
            </w:r>
            <w:proofErr w:type="spellStart"/>
            <w:r w:rsidRPr="00EE6FFC">
              <w:rPr>
                <w:color w:val="000000"/>
              </w:rPr>
              <w:t>manjih</w:t>
            </w:r>
            <w:proofErr w:type="spellEnd"/>
            <w:r w:rsidRPr="00EE6FFC">
              <w:rPr>
                <w:color w:val="000000"/>
              </w:rPr>
              <w:t>.</w:t>
            </w:r>
          </w:p>
          <w:p w14:paraId="04890646" w14:textId="46564E09" w:rsidR="00BD75B8" w:rsidRPr="00EE6FFC" w:rsidRDefault="00BD75B8" w:rsidP="00DC4D0E">
            <w:pPr>
              <w:jc w:val="both"/>
            </w:pPr>
          </w:p>
        </w:tc>
        <w:tc>
          <w:tcPr>
            <w:tcW w:w="2693" w:type="dxa"/>
          </w:tcPr>
          <w:p w14:paraId="052BDE09" w14:textId="77777777" w:rsidR="003722CC" w:rsidRPr="00547EF6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47EF6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Primljeno na znanje.</w:t>
            </w:r>
          </w:p>
          <w:p w14:paraId="1A4350F9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D386125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E5D169B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1D79E1F8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4522863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56E6ECDB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10AB82AF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7251B769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55B0BA5B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C32DDBB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F2D3A8D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7B5BF2BD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53227B9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172D9178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08EED11F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44D6E688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35089553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580D8E6B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58A36223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764B5EBA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33009F79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2D38B031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1B95495E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433BA886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03D77A2F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0118A800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37ACA046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FFC0CAB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283E5DF0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3E8191F8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53BDD0AF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5A81CB1B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4C0DEEF5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870E6EF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2B31D008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5002555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481C765A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0AD89BD2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1C6EBEFF" w14:textId="77777777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83B34A4" w14:textId="77777777" w:rsidR="00E6217B" w:rsidRPr="0006713B" w:rsidRDefault="00E6217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Nije prihvaćeno.</w:t>
            </w:r>
          </w:p>
          <w:p w14:paraId="2882323F" w14:textId="4112F551" w:rsidR="00E6217B" w:rsidRPr="0006713B" w:rsidRDefault="00E6217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Naime, nije primjenjivo vezati sektorske analize za udruge na predmetni članak koji uređuje </w:t>
            </w:r>
            <w:r w:rsidR="00E355CF" w:rsidRPr="00547EF6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godišnji i </w:t>
            </w:r>
            <w:proofErr w:type="gramStart"/>
            <w:r w:rsidR="00E355CF" w:rsidRPr="00547EF6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višegodišnji  program</w:t>
            </w:r>
            <w:proofErr w:type="gramEnd"/>
            <w:r w:rsidR="00E355CF" w:rsidRPr="00547EF6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rada i financijski plan Fonda te utvrđuje područja financiranja jer će Fond analize stanja i kretanja u sektoru komunicirati s</w:t>
            </w:r>
            <w:r w:rsidRPr="00547EF6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Vladinim uredom za udruge</w:t>
            </w:r>
            <w:r w:rsidR="00E355CF"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zainteresiranim udrugama te MINGOR-om kada dođe upit za izradu Sektorskih analiza za 2025. godinu </w:t>
            </w: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od strane Vladinog ureda za udruge.</w:t>
            </w:r>
          </w:p>
          <w:p w14:paraId="7F9EB148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6548FE72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287ED4F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9E54289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CA50107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2F5A23F8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401F4C59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FAA570A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D66FF85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861A61A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D7F37B6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222A6F2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54A97D1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DA2DC58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8052392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D3CF07A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7BB91F4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C434550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A39A964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446E614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9F10C6C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4765320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537D24E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84886C8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BFA29C5" w14:textId="2F932031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Nije</w:t>
            </w:r>
            <w:proofErr w:type="spellEnd"/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prihvaćeno</w:t>
            </w:r>
            <w:proofErr w:type="spellEnd"/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  <w:p w14:paraId="249AD166" w14:textId="37A1F80E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Ova se odredba odnosi na sve korisnike sredstava , pa tako i udruge, te stoga nije potrebno posebno isticati projekte organizacija civilnog društva. </w:t>
            </w:r>
          </w:p>
          <w:p w14:paraId="12B82C79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AE81FC3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44AF8EE1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607C87B8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678535BF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4FE1C60E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4A3327CD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2C69E22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5BF764F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74BB78B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6EDD23BE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7B46AF3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A04EEA0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F7F9CAD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BDC9FB0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2FF909E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691B4AD3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97EFEE7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4EACC90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28C28FAA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C3E9E31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20AA1A2E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AA243AF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BA160C4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7048369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B194180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E00AE59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4F81736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76A28FD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4CBA7D6E" w14:textId="077CF83B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Nije primjenjivo.</w:t>
            </w:r>
          </w:p>
          <w:p w14:paraId="796EBD6F" w14:textId="4EA41315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Ovaj prijedlog nije predmet Pravilnika nego ugovora s Korisnikom.  </w:t>
            </w:r>
          </w:p>
          <w:p w14:paraId="4A1BEFCB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7FB809EE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FAD5BAE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6CEC1014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E336DF6" w14:textId="77777777" w:rsidR="00ED52BB" w:rsidRPr="0006713B" w:rsidRDefault="00ED52BB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Nije primjenjivo.</w:t>
            </w:r>
          </w:p>
          <w:p w14:paraId="73D413E5" w14:textId="7FB9C914" w:rsidR="00ED52BB" w:rsidRPr="0006713B" w:rsidRDefault="00ED52BB" w:rsidP="009A770A">
            <w:pPr>
              <w:pStyle w:val="Tijeloteksta"/>
              <w:tabs>
                <w:tab w:val="left" w:pos="502"/>
              </w:tabs>
              <w:ind w:left="0" w:right="293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Naime, Fond </w:t>
            </w:r>
            <w:proofErr w:type="spellStart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sudjeluje</w:t>
            </w:r>
            <w:proofErr w:type="spellEnd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</w:t>
            </w:r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sufinanciranju</w:t>
            </w:r>
            <w:proofErr w:type="spellEnd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projekata</w:t>
            </w:r>
            <w:proofErr w:type="spellEnd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korisnicima</w:t>
            </w:r>
            <w:proofErr w:type="spellEnd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gramEnd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iznimno</w:t>
            </w:r>
            <w:proofErr w:type="spellEnd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financira</w:t>
            </w:r>
            <w:proofErr w:type="spellEnd"/>
            <w:r w:rsidR="00655B19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100% </w:t>
            </w:r>
            <w:proofErr w:type="spellStart"/>
            <w:r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opravdanih</w:t>
            </w:r>
            <w:proofErr w:type="spellEnd"/>
            <w:r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troškova</w:t>
            </w:r>
            <w:proofErr w:type="spellEnd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kada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radi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programima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projektima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sličnim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aktivnostima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iznimnog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značaja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pod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posebnim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uvjetima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npr</w:t>
            </w:r>
            <w:proofErr w:type="spellEnd"/>
            <w:r w:rsidR="008A6782" w:rsidRP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sukladno</w:t>
            </w:r>
            <w:proofErr w:type="spellEnd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odluci</w:t>
            </w:r>
            <w:proofErr w:type="spellEnd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Vlade RH</w:t>
            </w:r>
            <w:r w:rsid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temeljem</w:t>
            </w:r>
            <w:proofErr w:type="spellEnd"/>
            <w:r w:rsid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drugi</w:t>
            </w:r>
            <w:r w:rsid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proofErr w:type="spellEnd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  <w:proofErr w:type="spellEnd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Vlade RH </w:t>
            </w:r>
            <w:proofErr w:type="spellStart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kojima</w:t>
            </w:r>
            <w:proofErr w:type="spellEnd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 Fond </w:t>
            </w:r>
            <w:proofErr w:type="spellStart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zadužen</w:t>
            </w:r>
            <w:proofErr w:type="spellEnd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financiranje</w:t>
            </w:r>
            <w:proofErr w:type="spellEnd"/>
            <w:r w:rsid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kada</w:t>
            </w:r>
            <w:proofErr w:type="spellEnd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radi</w:t>
            </w:r>
            <w:proofErr w:type="spellEnd"/>
            <w:r w:rsidR="00111558" w:rsidRPr="009A770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hitnim</w:t>
            </w:r>
            <w:proofErr w:type="spellEnd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nužnim</w:t>
            </w:r>
            <w:proofErr w:type="spellEnd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mjerama</w:t>
            </w:r>
            <w:proofErr w:type="spellEnd"/>
            <w:r w:rsidR="009A770A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sanaciji</w:t>
            </w:r>
            <w:proofErr w:type="spellEnd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lokacija</w:t>
            </w:r>
            <w:proofErr w:type="spellEnd"/>
            <w:proofErr w:type="gramEnd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visokooptere</w:t>
            </w:r>
            <w:r w:rsidR="009A770A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ć</w:t>
            </w:r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enim</w:t>
            </w:r>
            <w:proofErr w:type="spellEnd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opasnim</w:t>
            </w:r>
            <w:proofErr w:type="spellEnd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otpadom</w:t>
            </w:r>
            <w:proofErr w:type="spellEnd"/>
            <w:r w:rsidR="00655B19" w:rsidRPr="0006713B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678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i sl.)</w:t>
            </w:r>
          </w:p>
          <w:p w14:paraId="19F5A323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69E8198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2BB2E7DD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09BF7E00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5AF02C04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7C151FA5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341B05F3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111276D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43C622EB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7A935E96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6DD02DC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38228EFC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05854881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2D71EBFB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17F1F65F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F74D8E7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7B077501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48C62C0B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5ABEC52A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5DFE493F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45982CE4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46E070C2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1C07184E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3BF1DEF9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2ED9EDA2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779DEDD1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65E210A1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49B36CFD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  <w:p w14:paraId="07292723" w14:textId="6151B964" w:rsidR="00AC2D79" w:rsidRPr="0006713B" w:rsidRDefault="003E3FEF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N</w:t>
            </w:r>
            <w:r w:rsidR="00AC2D79"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ije</w:t>
            </w:r>
            <w:proofErr w:type="spellEnd"/>
            <w:r w:rsidR="00AC2D79"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C2D79"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primjenjivo</w:t>
            </w:r>
            <w:proofErr w:type="spellEnd"/>
            <w:r w:rsidR="00AC2D79"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  <w:p w14:paraId="2A8B7C7F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Ovaj prijedlog nije predmet Pravilnika nego teksta Javnog natječaja.</w:t>
            </w:r>
          </w:p>
          <w:p w14:paraId="02345499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4C70460F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C812474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Nije primjenjivo.</w:t>
            </w:r>
          </w:p>
          <w:p w14:paraId="50B72131" w14:textId="21602CD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Ovaj prijedlog nije predmet Pravilnika nego teksta Javnog natječaja.</w:t>
            </w:r>
          </w:p>
          <w:p w14:paraId="743CFD5D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F6C55B2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01456C5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01EFB51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56C3D9A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26A51A26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4E107165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BC6D885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CBB1CBB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620B6D15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DC9BECD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611A014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66FE4D7E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F93E74C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F7ACE68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249966B7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6206A88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17E9DAF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39DB3513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04A96B00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Nije</w:t>
            </w:r>
            <w:proofErr w:type="spellEnd"/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primjenjivo</w:t>
            </w:r>
            <w:proofErr w:type="spellEnd"/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  <w:p w14:paraId="727A91F3" w14:textId="5AD17E31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Ovaj prijedlog nije predmet Pravilnika nego teksta Javnog natječaja i/ili </w:t>
            </w:r>
            <w:r w:rsidRPr="00547EF6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>ugovora s</w:t>
            </w: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Korisnikom.</w:t>
            </w:r>
          </w:p>
          <w:p w14:paraId="69633667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2C27519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76393093" w14:textId="77777777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70D06A2" w14:textId="0B098193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6713B"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 </w:t>
            </w:r>
          </w:p>
          <w:p w14:paraId="022ACBB5" w14:textId="29C45450" w:rsidR="00AC2D79" w:rsidRPr="0006713B" w:rsidRDefault="00AC2D79" w:rsidP="009A770A">
            <w:pPr>
              <w:pStyle w:val="pf0"/>
              <w:jc w:val="both"/>
              <w:rPr>
                <w:rStyle w:val="cf01"/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7C26294" w14:textId="2560F142" w:rsidR="00E6217B" w:rsidRPr="0006713B" w:rsidRDefault="00E6217B" w:rsidP="009A770A">
            <w:pPr>
              <w:shd w:val="clear" w:color="auto" w:fill="FFFFFF"/>
              <w:spacing w:after="120" w:line="300" w:lineRule="atLeast"/>
              <w:jc w:val="both"/>
              <w:rPr>
                <w:rStyle w:val="cf01"/>
                <w:rFonts w:ascii="Times New Roman" w:eastAsia="Arial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F53B0" w14:paraId="1602D6D0" w14:textId="77777777" w:rsidTr="00146522">
        <w:trPr>
          <w:trHeight w:val="983"/>
        </w:trPr>
        <w:tc>
          <w:tcPr>
            <w:tcW w:w="690" w:type="dxa"/>
          </w:tcPr>
          <w:p w14:paraId="7A039515" w14:textId="1EB8B81C" w:rsidR="004F53B0" w:rsidRPr="00146522" w:rsidRDefault="00A26B58" w:rsidP="004F53B0">
            <w:r w:rsidRPr="00146522">
              <w:lastRenderedPageBreak/>
              <w:t xml:space="preserve">2. </w:t>
            </w:r>
          </w:p>
        </w:tc>
        <w:tc>
          <w:tcPr>
            <w:tcW w:w="1721" w:type="dxa"/>
          </w:tcPr>
          <w:p w14:paraId="767B524B" w14:textId="57C558D1" w:rsidR="00446F4C" w:rsidRPr="00146522" w:rsidRDefault="003D4576" w:rsidP="004F53B0">
            <w:r w:rsidRPr="00146522">
              <w:t xml:space="preserve">Franjevačka provincija Presvetog Otkupitelja </w:t>
            </w:r>
            <w:r w:rsidRPr="00146522">
              <w:lastRenderedPageBreak/>
              <w:t>(samostani, redovničke kuće i crkve – 230 korisnika, 14 samostana, 85 župa i crkva)</w:t>
            </w:r>
          </w:p>
        </w:tc>
        <w:tc>
          <w:tcPr>
            <w:tcW w:w="1701" w:type="dxa"/>
          </w:tcPr>
          <w:p w14:paraId="51A58F62" w14:textId="77777777" w:rsidR="003D4576" w:rsidRPr="00146522" w:rsidRDefault="003D4576" w:rsidP="003D4576">
            <w:r w:rsidRPr="00146522">
              <w:lastRenderedPageBreak/>
              <w:t xml:space="preserve">Načelne primjedbe i prijedlozi na predložen </w:t>
            </w:r>
            <w:r w:rsidRPr="00146522">
              <w:lastRenderedPageBreak/>
              <w:t>nacrt akta s obrazloženjem</w:t>
            </w:r>
          </w:p>
          <w:p w14:paraId="30E4D472" w14:textId="77777777" w:rsidR="006C3DEE" w:rsidRPr="00146522" w:rsidRDefault="006C3DEE" w:rsidP="003D4576"/>
          <w:p w14:paraId="64A20D2D" w14:textId="77777777" w:rsidR="006C3DEE" w:rsidRPr="00146522" w:rsidRDefault="006C3DEE" w:rsidP="003D4576"/>
          <w:p w14:paraId="339A4FFB" w14:textId="77777777" w:rsidR="006C3DEE" w:rsidRPr="00146522" w:rsidRDefault="006C3DEE" w:rsidP="003D4576"/>
          <w:p w14:paraId="5AD8A1BD" w14:textId="77777777" w:rsidR="006C3DEE" w:rsidRPr="00146522" w:rsidRDefault="006C3DEE" w:rsidP="003D4576"/>
          <w:p w14:paraId="7AACA158" w14:textId="77777777" w:rsidR="006C3DEE" w:rsidRPr="00146522" w:rsidRDefault="006C3DEE" w:rsidP="003D4576"/>
          <w:p w14:paraId="3B74536B" w14:textId="77777777" w:rsidR="006C3DEE" w:rsidRPr="00146522" w:rsidRDefault="006C3DEE" w:rsidP="003D4576"/>
          <w:p w14:paraId="3853195F" w14:textId="77777777" w:rsidR="006C3DEE" w:rsidRPr="00146522" w:rsidRDefault="006C3DEE" w:rsidP="003D4576"/>
          <w:p w14:paraId="315C3F37" w14:textId="77777777" w:rsidR="006C3DEE" w:rsidRPr="00146522" w:rsidRDefault="006C3DEE" w:rsidP="003D4576"/>
          <w:p w14:paraId="6F1C2860" w14:textId="77777777" w:rsidR="006C3DEE" w:rsidRPr="00146522" w:rsidRDefault="006C3DEE" w:rsidP="003D4576"/>
          <w:p w14:paraId="5F531E4F" w14:textId="77777777" w:rsidR="006C3DEE" w:rsidRPr="00146522" w:rsidRDefault="006C3DEE" w:rsidP="003D4576"/>
          <w:p w14:paraId="383CB44B" w14:textId="77777777" w:rsidR="006C3DEE" w:rsidRPr="00146522" w:rsidRDefault="006C3DEE" w:rsidP="003D4576"/>
          <w:p w14:paraId="47F08D62" w14:textId="77777777" w:rsidR="006C3DEE" w:rsidRPr="00146522" w:rsidRDefault="006C3DEE" w:rsidP="003D4576"/>
          <w:p w14:paraId="52608FBB" w14:textId="77777777" w:rsidR="006C3DEE" w:rsidRPr="00146522" w:rsidRDefault="006C3DEE" w:rsidP="003D4576"/>
          <w:p w14:paraId="31B1D0EA" w14:textId="77777777" w:rsidR="006C3DEE" w:rsidRPr="00146522" w:rsidRDefault="006C3DEE" w:rsidP="003D4576"/>
          <w:p w14:paraId="11E57ADF" w14:textId="77777777" w:rsidR="006C3DEE" w:rsidRPr="00146522" w:rsidRDefault="006C3DEE" w:rsidP="003D4576"/>
          <w:p w14:paraId="52F7AD0B" w14:textId="77777777" w:rsidR="006C3DEE" w:rsidRPr="00146522" w:rsidRDefault="006C3DEE" w:rsidP="003D4576"/>
          <w:p w14:paraId="2C51EF30" w14:textId="77777777" w:rsidR="006C3DEE" w:rsidRPr="00146522" w:rsidRDefault="006C3DEE" w:rsidP="003D4576"/>
          <w:p w14:paraId="01796422" w14:textId="77777777" w:rsidR="006C3DEE" w:rsidRPr="00146522" w:rsidRDefault="006C3DEE" w:rsidP="003D4576"/>
          <w:p w14:paraId="77EBB98E" w14:textId="77777777" w:rsidR="006C3DEE" w:rsidRPr="00146522" w:rsidRDefault="006C3DEE" w:rsidP="003D4576"/>
          <w:p w14:paraId="44DC0721" w14:textId="77777777" w:rsidR="006C3DEE" w:rsidRPr="00146522" w:rsidRDefault="006C3DEE" w:rsidP="003D4576"/>
          <w:p w14:paraId="5083AB3F" w14:textId="77777777" w:rsidR="006C3DEE" w:rsidRPr="00146522" w:rsidRDefault="006C3DEE" w:rsidP="003D4576"/>
          <w:p w14:paraId="43B56C8B" w14:textId="77777777" w:rsidR="006C3DEE" w:rsidRPr="00146522" w:rsidRDefault="006C3DEE" w:rsidP="003D4576"/>
          <w:p w14:paraId="23F31B71" w14:textId="77777777" w:rsidR="006C3DEE" w:rsidRPr="00146522" w:rsidRDefault="006C3DEE" w:rsidP="003D4576"/>
          <w:p w14:paraId="390D082F" w14:textId="77777777" w:rsidR="006C3DEE" w:rsidRPr="00146522" w:rsidRDefault="006C3DEE" w:rsidP="003D4576"/>
          <w:p w14:paraId="4681E8E5" w14:textId="77777777" w:rsidR="006C3DEE" w:rsidRPr="00146522" w:rsidRDefault="006C3DEE" w:rsidP="003D4576"/>
          <w:p w14:paraId="5A944C27" w14:textId="77777777" w:rsidR="006C3DEE" w:rsidRPr="00146522" w:rsidRDefault="006C3DEE" w:rsidP="003D4576"/>
          <w:p w14:paraId="0525E77F" w14:textId="77777777" w:rsidR="006C3DEE" w:rsidRPr="00146522" w:rsidRDefault="006C3DEE" w:rsidP="003D4576"/>
          <w:p w14:paraId="0B671EF3" w14:textId="77777777" w:rsidR="006C3DEE" w:rsidRPr="00146522" w:rsidRDefault="006C3DEE" w:rsidP="003D4576"/>
          <w:p w14:paraId="408AF0D5" w14:textId="77777777" w:rsidR="006C3DEE" w:rsidRPr="00146522" w:rsidRDefault="006C3DEE" w:rsidP="003D4576"/>
          <w:p w14:paraId="70952EBC" w14:textId="77777777" w:rsidR="006C3DEE" w:rsidRPr="00146522" w:rsidRDefault="006C3DEE" w:rsidP="003D4576"/>
          <w:p w14:paraId="705AD2BE" w14:textId="77777777" w:rsidR="006C3DEE" w:rsidRPr="00146522" w:rsidRDefault="006C3DEE" w:rsidP="003D4576"/>
          <w:p w14:paraId="131C3DC1" w14:textId="77777777" w:rsidR="006C3DEE" w:rsidRPr="00146522" w:rsidRDefault="006C3DEE" w:rsidP="003D4576"/>
          <w:p w14:paraId="05E5A573" w14:textId="77777777" w:rsidR="006C3DEE" w:rsidRPr="00146522" w:rsidRDefault="006C3DEE" w:rsidP="003D4576"/>
          <w:p w14:paraId="30502F9A" w14:textId="77777777" w:rsidR="006C3DEE" w:rsidRPr="00146522" w:rsidRDefault="006C3DEE" w:rsidP="003D4576"/>
          <w:p w14:paraId="7D28268B" w14:textId="77777777" w:rsidR="006C3DEE" w:rsidRPr="00146522" w:rsidRDefault="006C3DEE" w:rsidP="003D4576"/>
          <w:p w14:paraId="3F4F5542" w14:textId="77777777" w:rsidR="006C3DEE" w:rsidRPr="00146522" w:rsidRDefault="006C3DEE" w:rsidP="003D4576"/>
          <w:p w14:paraId="055F1FE7" w14:textId="77777777" w:rsidR="006C3DEE" w:rsidRPr="00146522" w:rsidRDefault="006C3DEE" w:rsidP="003D4576"/>
          <w:p w14:paraId="13801CE5" w14:textId="77777777" w:rsidR="006C3DEE" w:rsidRPr="00146522" w:rsidRDefault="006C3DEE" w:rsidP="003D4576"/>
          <w:p w14:paraId="3CA2127A" w14:textId="77777777" w:rsidR="006C3DEE" w:rsidRPr="00146522" w:rsidRDefault="006C3DEE" w:rsidP="003D4576"/>
          <w:p w14:paraId="44155CC8" w14:textId="77777777" w:rsidR="006C3DEE" w:rsidRPr="00146522" w:rsidRDefault="006C3DEE" w:rsidP="003D4576"/>
          <w:p w14:paraId="3545E062" w14:textId="77777777" w:rsidR="006C3DEE" w:rsidRPr="00146522" w:rsidRDefault="006C3DEE" w:rsidP="003D4576"/>
          <w:p w14:paraId="1407E45C" w14:textId="77777777" w:rsidR="006C3DEE" w:rsidRPr="00146522" w:rsidRDefault="006C3DEE" w:rsidP="003D4576"/>
          <w:p w14:paraId="0C409348" w14:textId="77777777" w:rsidR="006C3DEE" w:rsidRPr="00146522" w:rsidRDefault="006C3DEE" w:rsidP="003D4576"/>
          <w:p w14:paraId="67BAE96B" w14:textId="77777777" w:rsidR="006C3DEE" w:rsidRPr="00146522" w:rsidRDefault="006C3DEE" w:rsidP="003D4576"/>
          <w:p w14:paraId="0753C7A2" w14:textId="77777777" w:rsidR="006C3DEE" w:rsidRPr="00146522" w:rsidRDefault="006C3DEE" w:rsidP="003D4576"/>
          <w:p w14:paraId="0ACEDCBD" w14:textId="77777777" w:rsidR="006C3DEE" w:rsidRPr="00146522" w:rsidRDefault="006C3DEE" w:rsidP="003D4576"/>
          <w:p w14:paraId="6ABF22D9" w14:textId="77777777" w:rsidR="006C3DEE" w:rsidRPr="00146522" w:rsidRDefault="006C3DEE" w:rsidP="003D4576"/>
          <w:p w14:paraId="03455331" w14:textId="77777777" w:rsidR="006C3DEE" w:rsidRPr="00146522" w:rsidRDefault="006C3DEE" w:rsidP="003D4576"/>
          <w:p w14:paraId="17496462" w14:textId="77777777" w:rsidR="006C3DEE" w:rsidRPr="00146522" w:rsidRDefault="006C3DEE" w:rsidP="003D4576"/>
          <w:p w14:paraId="1C023F95" w14:textId="77777777" w:rsidR="006C3DEE" w:rsidRPr="00146522" w:rsidRDefault="006C3DEE" w:rsidP="003D4576"/>
          <w:p w14:paraId="5202C469" w14:textId="77777777" w:rsidR="006C3DEE" w:rsidRPr="00146522" w:rsidRDefault="006C3DEE" w:rsidP="003D4576"/>
          <w:p w14:paraId="5DCC17A1" w14:textId="77777777" w:rsidR="006C3DEE" w:rsidRPr="00146522" w:rsidRDefault="006C3DEE" w:rsidP="003D4576"/>
          <w:p w14:paraId="74B15193" w14:textId="77777777" w:rsidR="006C3DEE" w:rsidRPr="00146522" w:rsidRDefault="006C3DEE" w:rsidP="003D4576"/>
          <w:p w14:paraId="1FC23D82" w14:textId="77777777" w:rsidR="006C3DEE" w:rsidRPr="00146522" w:rsidRDefault="006C3DEE" w:rsidP="003D4576"/>
          <w:p w14:paraId="182E6F6F" w14:textId="77777777" w:rsidR="006C3DEE" w:rsidRPr="00146522" w:rsidRDefault="006C3DEE" w:rsidP="003D4576"/>
          <w:p w14:paraId="65F34578" w14:textId="77777777" w:rsidR="006C3DEE" w:rsidRPr="00146522" w:rsidRDefault="006C3DEE" w:rsidP="003D4576"/>
          <w:p w14:paraId="2C87637A" w14:textId="77777777" w:rsidR="006C3DEE" w:rsidRPr="00146522" w:rsidRDefault="006C3DEE" w:rsidP="003D4576"/>
          <w:p w14:paraId="59BB639F" w14:textId="77777777" w:rsidR="006C3DEE" w:rsidRPr="00146522" w:rsidRDefault="006C3DEE" w:rsidP="003D4576"/>
          <w:p w14:paraId="122E7BB1" w14:textId="77777777" w:rsidR="006C3DEE" w:rsidRPr="00146522" w:rsidRDefault="006C3DEE" w:rsidP="003D4576"/>
          <w:p w14:paraId="53D35831" w14:textId="77777777" w:rsidR="004E6F84" w:rsidRPr="00146522" w:rsidRDefault="004E6F84" w:rsidP="003D4576"/>
          <w:p w14:paraId="71DD07EB" w14:textId="77777777" w:rsidR="004E6F84" w:rsidRPr="00146522" w:rsidRDefault="004E6F84" w:rsidP="003D4576"/>
          <w:p w14:paraId="72D24112" w14:textId="6DEB2AFC" w:rsidR="006C3DEE" w:rsidRPr="00146522" w:rsidRDefault="006C3DEE" w:rsidP="003D4576">
            <w:r w:rsidRPr="00146522">
              <w:t>Primjedbe i prijedlozi na pojedine članke nacrta prijedloga akta s obrazloženjem</w:t>
            </w:r>
          </w:p>
          <w:p w14:paraId="577A8C79" w14:textId="77777777" w:rsidR="003D4576" w:rsidRPr="00146522" w:rsidRDefault="003D4576" w:rsidP="003D4576"/>
          <w:p w14:paraId="7410F743" w14:textId="48B87C3A" w:rsidR="004F53B0" w:rsidRPr="00146522" w:rsidRDefault="004F53B0" w:rsidP="004F53B0"/>
        </w:tc>
        <w:tc>
          <w:tcPr>
            <w:tcW w:w="3402" w:type="dxa"/>
          </w:tcPr>
          <w:p w14:paraId="164632A8" w14:textId="66EEC35A" w:rsidR="006C3DEE" w:rsidRPr="00146522" w:rsidRDefault="006C3DEE" w:rsidP="006C3DEE">
            <w:pPr>
              <w:textAlignment w:val="baseline"/>
              <w:rPr>
                <w:rFonts w:ascii="inherit" w:hAnsi="inherit"/>
                <w:sz w:val="21"/>
                <w:szCs w:val="21"/>
                <w:lang w:val="en-GB" w:eastAsia="en-GB"/>
              </w:rPr>
            </w:pP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lastRenderedPageBreak/>
              <w:t>Načel</w:t>
            </w:r>
            <w:r w:rsidR="00146522" w:rsidRPr="00146522">
              <w:rPr>
                <w:bdr w:val="none" w:sz="0" w:space="0" w:color="auto" w:frame="1"/>
                <w:lang w:val="en-GB" w:eastAsia="en-GB"/>
              </w:rPr>
              <w:t>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primjedba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r w:rsidR="00146522" w:rsidRPr="00146522">
              <w:rPr>
                <w:bdr w:val="none" w:sz="0" w:space="0" w:color="auto" w:frame="1"/>
                <w:lang w:val="en-GB" w:eastAsia="en-GB"/>
              </w:rPr>
              <w:t xml:space="preserve">je </w:t>
            </w:r>
            <w:r w:rsidRPr="00146522">
              <w:rPr>
                <w:bdr w:val="none" w:sz="0" w:space="0" w:color="auto" w:frame="1"/>
                <w:lang w:val="en-GB" w:eastAsia="en-GB"/>
              </w:rPr>
              <w:t xml:space="preserve">da </w:t>
            </w:r>
            <w:proofErr w:type="spellStart"/>
            <w:r w:rsidR="00146522" w:rsidRPr="00146522">
              <w:rPr>
                <w:bdr w:val="none" w:sz="0" w:space="0" w:color="auto" w:frame="1"/>
                <w:lang w:val="en-GB" w:eastAsia="en-GB"/>
              </w:rPr>
              <w:t>su</w:t>
            </w:r>
            <w:proofErr w:type="spellEnd"/>
            <w:r w:rsidR="00146522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vjerske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ustanove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u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podređenom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položaju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u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odnosu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natječaje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Fonda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lastRenderedPageBreak/>
              <w:t>te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nemaju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jednaka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prava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i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mogućnosti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natjecati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se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natječajima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osim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kada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je to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bilo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posebno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navedeno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što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je do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sada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bilo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iznimno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rijetko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>.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Posebnim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navođenjem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a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redovitim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korisnicima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dolazimo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do toga da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vjerske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ustanove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po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pitanjima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natječaja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Fonda u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nejednakom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statusu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u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društvu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>.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Vjerske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ustanove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provincije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družbe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samostani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i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crkve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koje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mogu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biti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zaštićena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kulturna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dobra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ali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i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r w:rsidRPr="00146522">
              <w:rPr>
                <w:bdr w:val="none" w:sz="0" w:space="0" w:color="auto" w:frame="1"/>
                <w:lang w:val="en-GB" w:eastAsia="en-GB"/>
              </w:rPr>
              <w:t xml:space="preserve">ne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moraju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jer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postoji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jako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puno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objekata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novijega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datuma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. Po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dosadašnjim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pravilnicima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i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natječajima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kao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takve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nemaju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se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mogućnost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javiti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natječaje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jer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ne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spadaju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u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obiteljske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kao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niti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r w:rsidRPr="00146522">
              <w:rPr>
                <w:bdr w:val="none" w:sz="0" w:space="0" w:color="auto" w:frame="1"/>
                <w:lang w:val="en-GB" w:eastAsia="en-GB"/>
              </w:rPr>
              <w:t xml:space="preserve">u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višestambene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a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niti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gospodarske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objekte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>. Samim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r w:rsidRPr="00146522">
              <w:rPr>
                <w:bdr w:val="none" w:sz="0" w:space="0" w:color="auto" w:frame="1"/>
                <w:lang w:val="en-GB" w:eastAsia="en-GB"/>
              </w:rPr>
              <w:t xml:space="preserve">time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smo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isključeni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iz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natječaja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>.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Možda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postoji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mišljenje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da se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vjerske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ustanove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treba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vezati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isključivo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uz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ministarstvo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kulture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jer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mnogi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samostani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i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crkve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zaštićena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kulturna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r w:rsidRPr="00146522">
              <w:rPr>
                <w:bdr w:val="none" w:sz="0" w:space="0" w:color="auto" w:frame="1"/>
                <w:lang w:val="en-GB" w:eastAsia="en-GB"/>
              </w:rPr>
              <w:t xml:space="preserve">dobra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ipak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treba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naglasiti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da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jako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puno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vjerskih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objekata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nisu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kulturna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dobra a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potrebni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su</w:t>
            </w:r>
            <w:proofErr w:type="spellEnd"/>
          </w:p>
          <w:p w14:paraId="1E120C4F" w14:textId="77777777" w:rsidR="006C3DEE" w:rsidRPr="00146522" w:rsidRDefault="006C3DEE" w:rsidP="006C3DEE">
            <w:pPr>
              <w:textAlignment w:val="baseline"/>
              <w:rPr>
                <w:bdr w:val="none" w:sz="0" w:space="0" w:color="auto" w:frame="1"/>
                <w:lang w:val="en-GB" w:eastAsia="en-GB"/>
              </w:rPr>
            </w:pP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energetske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obnove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a po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dosadašnjim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nisu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bili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u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mogućnosti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se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redovito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prijavljivati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natječaje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>.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Stoga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predlažemo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da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vjerske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institucije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budu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mogući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redoviti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prijavitelji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natječaje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što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bi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doprinijelo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da se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energetski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obnove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i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podignu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objekti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koji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zasigurno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od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javnog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interesa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>.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Vjerujemo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da je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ovo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u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interesu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lastRenderedPageBreak/>
              <w:t>Republike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Hrvatske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kao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i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regulativa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Europske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Unije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. S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jedne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strane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omogućavanje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ostvarenja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energetske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obnove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a s</w:t>
            </w:r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druge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strane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važnost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jednakosti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u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društvu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čemu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r w:rsidRPr="00146522">
              <w:rPr>
                <w:bdr w:val="none" w:sz="0" w:space="0" w:color="auto" w:frame="1"/>
                <w:lang w:val="en-GB" w:eastAsia="en-GB"/>
              </w:rPr>
              <w:t xml:space="preserve">se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zasniva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i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naše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društvo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i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vrijednosti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Europske</w:t>
            </w:r>
            <w:proofErr w:type="spellEnd"/>
            <w:r w:rsidRPr="00146522">
              <w:rPr>
                <w:rFonts w:ascii="inherit" w:hAnsi="inherit"/>
                <w:sz w:val="21"/>
                <w:szCs w:val="21"/>
                <w:lang w:val="en-GB" w:eastAsia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Unije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>.</w:t>
            </w:r>
          </w:p>
          <w:p w14:paraId="2964BD8F" w14:textId="77777777" w:rsidR="006C3DEE" w:rsidRPr="00146522" w:rsidRDefault="006C3DEE" w:rsidP="006C3DEE">
            <w:pPr>
              <w:textAlignment w:val="baseline"/>
              <w:rPr>
                <w:bdr w:val="none" w:sz="0" w:space="0" w:color="auto" w:frame="1"/>
                <w:lang w:val="en-GB" w:eastAsia="en-GB"/>
              </w:rPr>
            </w:pPr>
          </w:p>
          <w:p w14:paraId="6D7FE16F" w14:textId="77777777" w:rsidR="006C3DEE" w:rsidRPr="00146522" w:rsidRDefault="006C3DEE" w:rsidP="006C3DEE">
            <w:pPr>
              <w:textAlignment w:val="baseline"/>
              <w:rPr>
                <w:bdr w:val="none" w:sz="0" w:space="0" w:color="auto" w:frame="1"/>
                <w:lang w:val="en-GB" w:eastAsia="en-GB"/>
              </w:rPr>
            </w:pPr>
          </w:p>
          <w:p w14:paraId="49EAB475" w14:textId="63A66C73" w:rsidR="004F53B0" w:rsidRPr="00146522" w:rsidRDefault="006C3DEE" w:rsidP="00DC4D0E"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Primjedbe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su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da se u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svim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člancima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stavi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da</w:t>
            </w:r>
            <w:r w:rsidRPr="00146522">
              <w:rPr>
                <w:rFonts w:ascii="Segoe UI" w:hAnsi="Segoe UI" w:cs="Segoe UI"/>
                <w:sz w:val="21"/>
                <w:szCs w:val="21"/>
                <w:lang w:val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vjerske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ustanove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mogu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biti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redoviti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korisnici</w:t>
            </w:r>
            <w:proofErr w:type="spellEnd"/>
            <w:r w:rsidRPr="00146522">
              <w:rPr>
                <w:rFonts w:ascii="Segoe UI" w:hAnsi="Segoe UI" w:cs="Segoe UI"/>
                <w:sz w:val="21"/>
                <w:szCs w:val="21"/>
                <w:lang w:val="en-GB"/>
              </w:rPr>
              <w:br/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sredstava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E02E26"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F</w:t>
            </w:r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onda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što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je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potrebno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naznačiti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u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članku</w:t>
            </w:r>
            <w:proofErr w:type="spellEnd"/>
            <w:r w:rsidRPr="00146522">
              <w:rPr>
                <w:rFonts w:ascii="Segoe UI" w:hAnsi="Segoe UI" w:cs="Segoe UI"/>
                <w:sz w:val="21"/>
                <w:szCs w:val="21"/>
                <w:lang w:val="en-GB"/>
              </w:rPr>
              <w:br/>
            </w:r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7 (1),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članku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13(2), 14 (1) i (3)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članku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15,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članku</w:t>
            </w:r>
            <w:proofErr w:type="spellEnd"/>
            <w:r w:rsidRPr="00146522">
              <w:rPr>
                <w:rFonts w:ascii="Segoe UI" w:hAnsi="Segoe UI" w:cs="Segoe UI"/>
                <w:sz w:val="21"/>
                <w:szCs w:val="21"/>
                <w:lang w:val="en-GB"/>
              </w:rPr>
              <w:br/>
            </w:r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16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te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ako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je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potrebno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u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još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dodatnim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člancima</w:t>
            </w:r>
            <w:proofErr w:type="spellEnd"/>
            <w:r w:rsidRPr="00146522">
              <w:rPr>
                <w:bdr w:val="none" w:sz="0" w:space="0" w:color="auto" w:frame="1"/>
                <w:shd w:val="clear" w:color="auto" w:fill="FFFFFF"/>
                <w:lang w:val="en-GB"/>
              </w:rPr>
              <w:t>.</w:t>
            </w:r>
            <w:r w:rsidRPr="00146522">
              <w:rPr>
                <w:rFonts w:ascii="Segoe UI" w:hAnsi="Segoe UI" w:cs="Segoe UI"/>
                <w:sz w:val="21"/>
                <w:szCs w:val="21"/>
                <w:lang w:val="en-GB"/>
              </w:rPr>
              <w:br/>
            </w:r>
          </w:p>
        </w:tc>
        <w:tc>
          <w:tcPr>
            <w:tcW w:w="2693" w:type="dxa"/>
          </w:tcPr>
          <w:p w14:paraId="1E62B03C" w14:textId="77777777" w:rsidR="004F53B0" w:rsidRDefault="001B1C8E" w:rsidP="00912B47">
            <w:pPr>
              <w:rPr>
                <w:b/>
                <w:bCs/>
              </w:rPr>
            </w:pPr>
            <w:r w:rsidRPr="001B1C8E">
              <w:rPr>
                <w:b/>
                <w:bCs/>
              </w:rPr>
              <w:lastRenderedPageBreak/>
              <w:t>Primljeno na znanje.</w:t>
            </w:r>
          </w:p>
          <w:p w14:paraId="34962A7A" w14:textId="77777777" w:rsidR="001B1C8E" w:rsidRDefault="001B1C8E" w:rsidP="00912B47">
            <w:pPr>
              <w:rPr>
                <w:b/>
                <w:bCs/>
              </w:rPr>
            </w:pPr>
          </w:p>
          <w:p w14:paraId="11AD86B1" w14:textId="77777777" w:rsidR="001B1C8E" w:rsidRDefault="001B1C8E" w:rsidP="00912B47">
            <w:pPr>
              <w:rPr>
                <w:b/>
                <w:bCs/>
              </w:rPr>
            </w:pPr>
          </w:p>
          <w:p w14:paraId="40B39E7C" w14:textId="77777777" w:rsidR="001B1C8E" w:rsidRDefault="001B1C8E" w:rsidP="00912B47">
            <w:pPr>
              <w:rPr>
                <w:b/>
                <w:bCs/>
              </w:rPr>
            </w:pPr>
          </w:p>
          <w:p w14:paraId="69E8A227" w14:textId="77777777" w:rsidR="001B1C8E" w:rsidRDefault="001B1C8E" w:rsidP="00912B47">
            <w:pPr>
              <w:rPr>
                <w:b/>
                <w:bCs/>
              </w:rPr>
            </w:pPr>
          </w:p>
          <w:p w14:paraId="003F4F77" w14:textId="77777777" w:rsidR="001B1C8E" w:rsidRDefault="001B1C8E" w:rsidP="00912B47">
            <w:pPr>
              <w:rPr>
                <w:b/>
                <w:bCs/>
              </w:rPr>
            </w:pPr>
          </w:p>
          <w:p w14:paraId="5F548AF5" w14:textId="77777777" w:rsidR="001B1C8E" w:rsidRDefault="001B1C8E" w:rsidP="00912B47">
            <w:pPr>
              <w:rPr>
                <w:b/>
                <w:bCs/>
              </w:rPr>
            </w:pPr>
          </w:p>
          <w:p w14:paraId="13DDFF05" w14:textId="77777777" w:rsidR="001B1C8E" w:rsidRDefault="001B1C8E" w:rsidP="00912B47">
            <w:pPr>
              <w:rPr>
                <w:b/>
                <w:bCs/>
              </w:rPr>
            </w:pPr>
          </w:p>
          <w:p w14:paraId="2CB43765" w14:textId="77777777" w:rsidR="001B1C8E" w:rsidRDefault="001B1C8E" w:rsidP="00912B47">
            <w:pPr>
              <w:rPr>
                <w:b/>
                <w:bCs/>
              </w:rPr>
            </w:pPr>
          </w:p>
          <w:p w14:paraId="4904E2A4" w14:textId="77777777" w:rsidR="001B1C8E" w:rsidRDefault="001B1C8E" w:rsidP="00912B47">
            <w:pPr>
              <w:rPr>
                <w:b/>
                <w:bCs/>
              </w:rPr>
            </w:pPr>
          </w:p>
          <w:p w14:paraId="13F78105" w14:textId="77777777" w:rsidR="001B1C8E" w:rsidRDefault="001B1C8E" w:rsidP="00912B47">
            <w:pPr>
              <w:rPr>
                <w:b/>
                <w:bCs/>
              </w:rPr>
            </w:pPr>
          </w:p>
          <w:p w14:paraId="15EE6FCA" w14:textId="77777777" w:rsidR="001B1C8E" w:rsidRDefault="001B1C8E" w:rsidP="00912B47">
            <w:pPr>
              <w:rPr>
                <w:b/>
                <w:bCs/>
              </w:rPr>
            </w:pPr>
          </w:p>
          <w:p w14:paraId="6E2C0CC9" w14:textId="77777777" w:rsidR="001B1C8E" w:rsidRDefault="001B1C8E" w:rsidP="00912B47">
            <w:pPr>
              <w:rPr>
                <w:b/>
                <w:bCs/>
              </w:rPr>
            </w:pPr>
          </w:p>
          <w:p w14:paraId="592FD270" w14:textId="77777777" w:rsidR="001B1C8E" w:rsidRDefault="001B1C8E" w:rsidP="00912B47">
            <w:pPr>
              <w:rPr>
                <w:b/>
                <w:bCs/>
              </w:rPr>
            </w:pPr>
          </w:p>
          <w:p w14:paraId="5D5BAAA7" w14:textId="77777777" w:rsidR="001B1C8E" w:rsidRDefault="001B1C8E" w:rsidP="00912B47">
            <w:pPr>
              <w:rPr>
                <w:b/>
                <w:bCs/>
              </w:rPr>
            </w:pPr>
          </w:p>
          <w:p w14:paraId="6A0F9F31" w14:textId="77777777" w:rsidR="001B1C8E" w:rsidRDefault="001B1C8E" w:rsidP="00912B47">
            <w:pPr>
              <w:rPr>
                <w:b/>
                <w:bCs/>
              </w:rPr>
            </w:pPr>
          </w:p>
          <w:p w14:paraId="66362663" w14:textId="77777777" w:rsidR="001B1C8E" w:rsidRDefault="001B1C8E" w:rsidP="00912B47">
            <w:pPr>
              <w:rPr>
                <w:b/>
                <w:bCs/>
              </w:rPr>
            </w:pPr>
          </w:p>
          <w:p w14:paraId="2760FB82" w14:textId="77777777" w:rsidR="001B1C8E" w:rsidRDefault="001B1C8E" w:rsidP="00912B47">
            <w:pPr>
              <w:rPr>
                <w:b/>
                <w:bCs/>
              </w:rPr>
            </w:pPr>
          </w:p>
          <w:p w14:paraId="06824FAB" w14:textId="77777777" w:rsidR="001B1C8E" w:rsidRDefault="001B1C8E" w:rsidP="00912B47">
            <w:pPr>
              <w:rPr>
                <w:b/>
                <w:bCs/>
              </w:rPr>
            </w:pPr>
          </w:p>
          <w:p w14:paraId="6BF35702" w14:textId="77777777" w:rsidR="001B1C8E" w:rsidRDefault="001B1C8E" w:rsidP="00912B47">
            <w:pPr>
              <w:rPr>
                <w:b/>
                <w:bCs/>
              </w:rPr>
            </w:pPr>
          </w:p>
          <w:p w14:paraId="37C8C78A" w14:textId="77777777" w:rsidR="001B1C8E" w:rsidRDefault="001B1C8E" w:rsidP="00912B47">
            <w:pPr>
              <w:rPr>
                <w:b/>
                <w:bCs/>
              </w:rPr>
            </w:pPr>
          </w:p>
          <w:p w14:paraId="7121AA51" w14:textId="77777777" w:rsidR="001B1C8E" w:rsidRDefault="001B1C8E" w:rsidP="00912B47">
            <w:pPr>
              <w:rPr>
                <w:b/>
                <w:bCs/>
              </w:rPr>
            </w:pPr>
          </w:p>
          <w:p w14:paraId="2F724561" w14:textId="77777777" w:rsidR="001B1C8E" w:rsidRDefault="001B1C8E" w:rsidP="00912B47">
            <w:pPr>
              <w:rPr>
                <w:b/>
                <w:bCs/>
              </w:rPr>
            </w:pPr>
          </w:p>
          <w:p w14:paraId="1AA9341C" w14:textId="77777777" w:rsidR="001B1C8E" w:rsidRDefault="001B1C8E" w:rsidP="00912B47">
            <w:pPr>
              <w:rPr>
                <w:b/>
                <w:bCs/>
              </w:rPr>
            </w:pPr>
          </w:p>
          <w:p w14:paraId="17CF9F20" w14:textId="77777777" w:rsidR="001B1C8E" w:rsidRDefault="001B1C8E" w:rsidP="00912B47">
            <w:pPr>
              <w:rPr>
                <w:b/>
                <w:bCs/>
              </w:rPr>
            </w:pPr>
          </w:p>
          <w:p w14:paraId="29051F12" w14:textId="77777777" w:rsidR="001B1C8E" w:rsidRDefault="001B1C8E" w:rsidP="00912B47">
            <w:pPr>
              <w:rPr>
                <w:b/>
                <w:bCs/>
              </w:rPr>
            </w:pPr>
          </w:p>
          <w:p w14:paraId="59161494" w14:textId="77777777" w:rsidR="001B1C8E" w:rsidRDefault="001B1C8E" w:rsidP="00912B47">
            <w:pPr>
              <w:rPr>
                <w:b/>
                <w:bCs/>
              </w:rPr>
            </w:pPr>
          </w:p>
          <w:p w14:paraId="559F63DE" w14:textId="77777777" w:rsidR="001B1C8E" w:rsidRDefault="001B1C8E" w:rsidP="00912B47">
            <w:pPr>
              <w:rPr>
                <w:b/>
                <w:bCs/>
              </w:rPr>
            </w:pPr>
          </w:p>
          <w:p w14:paraId="170608C8" w14:textId="77777777" w:rsidR="001B1C8E" w:rsidRDefault="001B1C8E" w:rsidP="00912B47">
            <w:pPr>
              <w:rPr>
                <w:b/>
                <w:bCs/>
              </w:rPr>
            </w:pPr>
          </w:p>
          <w:p w14:paraId="521A275B" w14:textId="77777777" w:rsidR="001B1C8E" w:rsidRDefault="001B1C8E" w:rsidP="00912B47">
            <w:pPr>
              <w:rPr>
                <w:b/>
                <w:bCs/>
              </w:rPr>
            </w:pPr>
          </w:p>
          <w:p w14:paraId="3FC95CE4" w14:textId="77777777" w:rsidR="001B1C8E" w:rsidRDefault="001B1C8E" w:rsidP="00912B47">
            <w:pPr>
              <w:rPr>
                <w:b/>
                <w:bCs/>
              </w:rPr>
            </w:pPr>
          </w:p>
          <w:p w14:paraId="58E93581" w14:textId="77777777" w:rsidR="001B1C8E" w:rsidRDefault="001B1C8E" w:rsidP="00912B47">
            <w:pPr>
              <w:rPr>
                <w:b/>
                <w:bCs/>
              </w:rPr>
            </w:pPr>
          </w:p>
          <w:p w14:paraId="4768CA34" w14:textId="77777777" w:rsidR="001B1C8E" w:rsidRDefault="001B1C8E" w:rsidP="00912B47">
            <w:pPr>
              <w:rPr>
                <w:b/>
                <w:bCs/>
              </w:rPr>
            </w:pPr>
          </w:p>
          <w:p w14:paraId="25E7AB6D" w14:textId="77777777" w:rsidR="001B1C8E" w:rsidRDefault="001B1C8E" w:rsidP="00912B47">
            <w:pPr>
              <w:rPr>
                <w:b/>
                <w:bCs/>
              </w:rPr>
            </w:pPr>
          </w:p>
          <w:p w14:paraId="29D05C21" w14:textId="77777777" w:rsidR="001B1C8E" w:rsidRDefault="001B1C8E" w:rsidP="00912B47">
            <w:pPr>
              <w:rPr>
                <w:b/>
                <w:bCs/>
              </w:rPr>
            </w:pPr>
          </w:p>
          <w:p w14:paraId="5FEDC156" w14:textId="77777777" w:rsidR="001B1C8E" w:rsidRDefault="001B1C8E" w:rsidP="00912B47">
            <w:pPr>
              <w:rPr>
                <w:b/>
                <w:bCs/>
              </w:rPr>
            </w:pPr>
          </w:p>
          <w:p w14:paraId="1D8D0A35" w14:textId="77777777" w:rsidR="001B1C8E" w:rsidRDefault="001B1C8E" w:rsidP="00912B47">
            <w:pPr>
              <w:rPr>
                <w:b/>
                <w:bCs/>
              </w:rPr>
            </w:pPr>
          </w:p>
          <w:p w14:paraId="5060B497" w14:textId="77777777" w:rsidR="001B1C8E" w:rsidRDefault="001B1C8E" w:rsidP="00912B47">
            <w:pPr>
              <w:rPr>
                <w:b/>
                <w:bCs/>
              </w:rPr>
            </w:pPr>
          </w:p>
          <w:p w14:paraId="098D721B" w14:textId="77777777" w:rsidR="001B1C8E" w:rsidRDefault="001B1C8E" w:rsidP="00912B47">
            <w:pPr>
              <w:rPr>
                <w:b/>
                <w:bCs/>
              </w:rPr>
            </w:pPr>
          </w:p>
          <w:p w14:paraId="66D6D1AA" w14:textId="77777777" w:rsidR="001B1C8E" w:rsidRDefault="001B1C8E" w:rsidP="00912B47">
            <w:pPr>
              <w:rPr>
                <w:b/>
                <w:bCs/>
              </w:rPr>
            </w:pPr>
          </w:p>
          <w:p w14:paraId="724FB199" w14:textId="77777777" w:rsidR="001B1C8E" w:rsidRDefault="001B1C8E" w:rsidP="00912B47">
            <w:pPr>
              <w:rPr>
                <w:b/>
                <w:bCs/>
              </w:rPr>
            </w:pPr>
          </w:p>
          <w:p w14:paraId="72099E50" w14:textId="77777777" w:rsidR="001B1C8E" w:rsidRDefault="001B1C8E" w:rsidP="00912B47">
            <w:pPr>
              <w:rPr>
                <w:b/>
                <w:bCs/>
              </w:rPr>
            </w:pPr>
          </w:p>
          <w:p w14:paraId="2B96145A" w14:textId="77777777" w:rsidR="001B1C8E" w:rsidRDefault="001B1C8E" w:rsidP="00912B47">
            <w:pPr>
              <w:rPr>
                <w:b/>
                <w:bCs/>
              </w:rPr>
            </w:pPr>
          </w:p>
          <w:p w14:paraId="4B476B84" w14:textId="77777777" w:rsidR="001B1C8E" w:rsidRDefault="001B1C8E" w:rsidP="00912B47">
            <w:pPr>
              <w:rPr>
                <w:b/>
                <w:bCs/>
              </w:rPr>
            </w:pPr>
          </w:p>
          <w:p w14:paraId="75DB95FD" w14:textId="77777777" w:rsidR="001B1C8E" w:rsidRDefault="001B1C8E" w:rsidP="00912B47">
            <w:pPr>
              <w:rPr>
                <w:b/>
                <w:bCs/>
              </w:rPr>
            </w:pPr>
          </w:p>
          <w:p w14:paraId="593FD11D" w14:textId="77777777" w:rsidR="001B1C8E" w:rsidRDefault="001B1C8E" w:rsidP="00912B47">
            <w:pPr>
              <w:rPr>
                <w:b/>
                <w:bCs/>
              </w:rPr>
            </w:pPr>
          </w:p>
          <w:p w14:paraId="1EA7069C" w14:textId="77777777" w:rsidR="001B1C8E" w:rsidRDefault="001B1C8E" w:rsidP="00912B47">
            <w:pPr>
              <w:rPr>
                <w:b/>
                <w:bCs/>
              </w:rPr>
            </w:pPr>
          </w:p>
          <w:p w14:paraId="2C3BF16D" w14:textId="77777777" w:rsidR="001B1C8E" w:rsidRDefault="001B1C8E" w:rsidP="00912B47">
            <w:pPr>
              <w:rPr>
                <w:b/>
                <w:bCs/>
              </w:rPr>
            </w:pPr>
          </w:p>
          <w:p w14:paraId="11B528A2" w14:textId="77777777" w:rsidR="001B1C8E" w:rsidRDefault="001B1C8E" w:rsidP="00912B47">
            <w:pPr>
              <w:rPr>
                <w:b/>
                <w:bCs/>
              </w:rPr>
            </w:pPr>
          </w:p>
          <w:p w14:paraId="7506640D" w14:textId="77777777" w:rsidR="001B1C8E" w:rsidRDefault="001B1C8E" w:rsidP="00912B47">
            <w:pPr>
              <w:rPr>
                <w:b/>
                <w:bCs/>
              </w:rPr>
            </w:pPr>
          </w:p>
          <w:p w14:paraId="5D29466E" w14:textId="77777777" w:rsidR="001B1C8E" w:rsidRDefault="001B1C8E" w:rsidP="00912B47">
            <w:pPr>
              <w:rPr>
                <w:b/>
                <w:bCs/>
              </w:rPr>
            </w:pPr>
          </w:p>
          <w:p w14:paraId="295BEC11" w14:textId="77777777" w:rsidR="001B1C8E" w:rsidRDefault="001B1C8E" w:rsidP="00912B47">
            <w:pPr>
              <w:rPr>
                <w:b/>
                <w:bCs/>
              </w:rPr>
            </w:pPr>
          </w:p>
          <w:p w14:paraId="203247A8" w14:textId="77777777" w:rsidR="001B1C8E" w:rsidRDefault="001B1C8E" w:rsidP="00912B47">
            <w:pPr>
              <w:rPr>
                <w:b/>
                <w:bCs/>
              </w:rPr>
            </w:pPr>
          </w:p>
          <w:p w14:paraId="79E15F89" w14:textId="77777777" w:rsidR="001B1C8E" w:rsidRDefault="001B1C8E" w:rsidP="00912B47">
            <w:pPr>
              <w:rPr>
                <w:b/>
                <w:bCs/>
              </w:rPr>
            </w:pPr>
          </w:p>
          <w:p w14:paraId="67529AB0" w14:textId="77777777" w:rsidR="001B1C8E" w:rsidRDefault="001B1C8E" w:rsidP="00912B47">
            <w:pPr>
              <w:rPr>
                <w:b/>
                <w:bCs/>
              </w:rPr>
            </w:pPr>
          </w:p>
          <w:p w14:paraId="4D44D944" w14:textId="77777777" w:rsidR="001B1C8E" w:rsidRDefault="001B1C8E" w:rsidP="00912B47">
            <w:pPr>
              <w:rPr>
                <w:b/>
                <w:bCs/>
              </w:rPr>
            </w:pPr>
          </w:p>
          <w:p w14:paraId="43DB0DB2" w14:textId="77777777" w:rsidR="001B1C8E" w:rsidRDefault="001B1C8E" w:rsidP="00912B47">
            <w:pPr>
              <w:rPr>
                <w:b/>
                <w:bCs/>
              </w:rPr>
            </w:pPr>
          </w:p>
          <w:p w14:paraId="07833A39" w14:textId="77777777" w:rsidR="001B1C8E" w:rsidRDefault="001B1C8E" w:rsidP="00912B47">
            <w:pPr>
              <w:rPr>
                <w:b/>
                <w:bCs/>
              </w:rPr>
            </w:pPr>
          </w:p>
          <w:p w14:paraId="25F6D6F7" w14:textId="77777777" w:rsidR="001B1C8E" w:rsidRDefault="001B1C8E" w:rsidP="00912B47">
            <w:pPr>
              <w:rPr>
                <w:b/>
                <w:bCs/>
              </w:rPr>
            </w:pPr>
          </w:p>
          <w:p w14:paraId="14D4C481" w14:textId="77777777" w:rsidR="001B1C8E" w:rsidRDefault="001B1C8E" w:rsidP="00912B47">
            <w:pPr>
              <w:rPr>
                <w:b/>
                <w:bCs/>
              </w:rPr>
            </w:pPr>
          </w:p>
          <w:p w14:paraId="62050EE8" w14:textId="77777777" w:rsidR="001B1C8E" w:rsidRDefault="001B1C8E" w:rsidP="00912B47">
            <w:pPr>
              <w:rPr>
                <w:b/>
                <w:bCs/>
              </w:rPr>
            </w:pPr>
          </w:p>
          <w:p w14:paraId="31FFE556" w14:textId="77777777" w:rsidR="001B1C8E" w:rsidRDefault="001B1C8E" w:rsidP="00912B47">
            <w:pPr>
              <w:rPr>
                <w:b/>
                <w:bCs/>
              </w:rPr>
            </w:pPr>
          </w:p>
          <w:p w14:paraId="4EBE29F0" w14:textId="77777777" w:rsidR="001B1C8E" w:rsidRDefault="001B1C8E" w:rsidP="00912B47">
            <w:pPr>
              <w:rPr>
                <w:b/>
                <w:bCs/>
              </w:rPr>
            </w:pPr>
          </w:p>
          <w:p w14:paraId="0A826F49" w14:textId="77777777" w:rsidR="001B1C8E" w:rsidRDefault="001B1C8E" w:rsidP="00912B47">
            <w:pPr>
              <w:rPr>
                <w:b/>
                <w:bCs/>
              </w:rPr>
            </w:pPr>
          </w:p>
          <w:p w14:paraId="53C755C1" w14:textId="77777777" w:rsidR="001B1C8E" w:rsidRDefault="001B1C8E" w:rsidP="00912B47">
            <w:pPr>
              <w:rPr>
                <w:b/>
                <w:bCs/>
              </w:rPr>
            </w:pPr>
          </w:p>
          <w:p w14:paraId="0A3D608A" w14:textId="77777777" w:rsidR="001B1C8E" w:rsidRDefault="001B1C8E" w:rsidP="00912B47">
            <w:pPr>
              <w:rPr>
                <w:b/>
                <w:bCs/>
              </w:rPr>
            </w:pPr>
          </w:p>
          <w:p w14:paraId="640E571A" w14:textId="77777777" w:rsidR="001B1C8E" w:rsidRDefault="001B1C8E" w:rsidP="00912B47">
            <w:pPr>
              <w:rPr>
                <w:b/>
                <w:bCs/>
              </w:rPr>
            </w:pPr>
          </w:p>
          <w:p w14:paraId="4B7EE373" w14:textId="77777777" w:rsidR="001B1C8E" w:rsidRDefault="001B1C8E" w:rsidP="00912B47">
            <w:pPr>
              <w:rPr>
                <w:b/>
                <w:bCs/>
              </w:rPr>
            </w:pPr>
            <w:r>
              <w:rPr>
                <w:b/>
                <w:bCs/>
              </w:rPr>
              <w:t>Nije prihvaćeno.</w:t>
            </w:r>
          </w:p>
          <w:p w14:paraId="3B22B532" w14:textId="77777777" w:rsidR="001B1C8E" w:rsidRDefault="001B1C8E" w:rsidP="00912B47">
            <w:pPr>
              <w:rPr>
                <w:b/>
                <w:bCs/>
              </w:rPr>
            </w:pPr>
          </w:p>
          <w:p w14:paraId="4C19D4BB" w14:textId="56EBA95E" w:rsidR="001B1C8E" w:rsidRPr="001B1C8E" w:rsidRDefault="001B1C8E" w:rsidP="00912B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Ovo iz razloga jer  </w:t>
            </w:r>
            <w:r w:rsidR="00333924">
              <w:rPr>
                <w:b/>
                <w:bCs/>
              </w:rPr>
              <w:t xml:space="preserve">su </w:t>
            </w:r>
            <w:r>
              <w:rPr>
                <w:b/>
                <w:bCs/>
              </w:rPr>
              <w:t xml:space="preserve">vjerske ustanove sukladno </w:t>
            </w:r>
            <w:r w:rsidR="00333924">
              <w:rPr>
                <w:b/>
                <w:bCs/>
              </w:rPr>
              <w:t>članku 7.</w:t>
            </w:r>
            <w:r w:rsidR="00E02E2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Pravilnik</w:t>
            </w:r>
            <w:r w:rsidR="00333924">
              <w:rPr>
                <w:b/>
                <w:bCs/>
              </w:rPr>
              <w:t>a korisnici sredstava Fonda</w:t>
            </w:r>
            <w:r w:rsidR="00E02E26">
              <w:rPr>
                <w:b/>
                <w:bCs/>
              </w:rPr>
              <w:t xml:space="preserve"> te time mogu </w:t>
            </w:r>
            <w:r w:rsidR="00C35E86">
              <w:rPr>
                <w:b/>
                <w:bCs/>
              </w:rPr>
              <w:t xml:space="preserve">ostvariti </w:t>
            </w:r>
            <w:r w:rsidR="00E02E26">
              <w:rPr>
                <w:b/>
                <w:bCs/>
              </w:rPr>
              <w:t>sredstva zajma odnosno donacije</w:t>
            </w:r>
            <w:r w:rsidR="00C35E86">
              <w:rPr>
                <w:b/>
                <w:bCs/>
              </w:rPr>
              <w:t xml:space="preserve">, bez posebnog navođenja. </w:t>
            </w:r>
            <w:r w:rsidR="00E02E2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</w:tr>
      <w:tr w:rsidR="004E6F84" w14:paraId="3F9D0F26" w14:textId="77777777" w:rsidTr="00146522">
        <w:trPr>
          <w:trHeight w:val="70"/>
        </w:trPr>
        <w:tc>
          <w:tcPr>
            <w:tcW w:w="690" w:type="dxa"/>
          </w:tcPr>
          <w:p w14:paraId="4E2C2A9D" w14:textId="1060006D" w:rsidR="004E6F84" w:rsidRPr="00146522" w:rsidRDefault="004E6F84" w:rsidP="004F53B0">
            <w:r w:rsidRPr="00146522">
              <w:lastRenderedPageBreak/>
              <w:t>3.</w:t>
            </w:r>
          </w:p>
        </w:tc>
        <w:tc>
          <w:tcPr>
            <w:tcW w:w="1721" w:type="dxa"/>
          </w:tcPr>
          <w:p w14:paraId="0F6BB409" w14:textId="2F7B7AE2" w:rsidR="004E6F84" w:rsidRPr="00146522" w:rsidRDefault="004E6F84" w:rsidP="004F53B0">
            <w:r w:rsidRPr="00146522">
              <w:t>Danica Galić</w:t>
            </w:r>
          </w:p>
        </w:tc>
        <w:tc>
          <w:tcPr>
            <w:tcW w:w="1701" w:type="dxa"/>
          </w:tcPr>
          <w:p w14:paraId="5779030B" w14:textId="77777777" w:rsidR="004E6F84" w:rsidRPr="00146522" w:rsidRDefault="004E6F84" w:rsidP="004E6F84">
            <w:r w:rsidRPr="00146522">
              <w:t>Načelne primjedbe i prijedlozi na predložen nacrt akta s obrazloženjem</w:t>
            </w:r>
          </w:p>
          <w:p w14:paraId="58A2201F" w14:textId="77777777" w:rsidR="004E6F84" w:rsidRPr="00146522" w:rsidRDefault="004E6F84" w:rsidP="003D4576"/>
          <w:p w14:paraId="31B27FCF" w14:textId="77777777" w:rsidR="004E6F84" w:rsidRPr="00146522" w:rsidRDefault="004E6F84" w:rsidP="003D4576"/>
          <w:p w14:paraId="305C07A0" w14:textId="77777777" w:rsidR="004E6F84" w:rsidRPr="00146522" w:rsidRDefault="004E6F84" w:rsidP="004E6F84">
            <w:r w:rsidRPr="00146522">
              <w:t>Primjedbe i prijedlozi na pojedine članke nacrta prijedloga akta s obrazloženjem</w:t>
            </w:r>
          </w:p>
          <w:p w14:paraId="769AEBFC" w14:textId="77777777" w:rsidR="004E6F84" w:rsidRPr="00146522" w:rsidRDefault="004E6F84" w:rsidP="003D4576"/>
          <w:p w14:paraId="095D5E31" w14:textId="77777777" w:rsidR="004E6F84" w:rsidRPr="00146522" w:rsidRDefault="004E6F84" w:rsidP="003D4576"/>
          <w:p w14:paraId="31E67F6F" w14:textId="1E4851DB" w:rsidR="004E6F84" w:rsidRPr="00146522" w:rsidRDefault="004E6F84" w:rsidP="003D4576"/>
        </w:tc>
        <w:tc>
          <w:tcPr>
            <w:tcW w:w="3402" w:type="dxa"/>
          </w:tcPr>
          <w:p w14:paraId="73156CE7" w14:textId="4AFAAC4E" w:rsidR="004E6F84" w:rsidRPr="00146522" w:rsidRDefault="004E6F84" w:rsidP="006C3DEE">
            <w:pPr>
              <w:textAlignment w:val="baseline"/>
              <w:rPr>
                <w:bdr w:val="none" w:sz="0" w:space="0" w:color="auto" w:frame="1"/>
                <w:lang w:val="en-GB" w:eastAsia="en-GB"/>
              </w:rPr>
            </w:pP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Primjedbe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prijave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koristeći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NIAS (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smatram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da je ta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metoda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nepravedna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r w:rsidR="00333924" w:rsidRPr="00146522">
              <w:rPr>
                <w:bdr w:val="none" w:sz="0" w:space="0" w:color="auto" w:frame="1"/>
                <w:lang w:val="en-GB" w:eastAsia="en-GB"/>
              </w:rPr>
              <w:t>i</w:t>
            </w:r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nekorektna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prema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brojnim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osobama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koje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nemaju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pristup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internetu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>.)</w:t>
            </w:r>
          </w:p>
          <w:p w14:paraId="48F5FBE9" w14:textId="77777777" w:rsidR="00DC1675" w:rsidRPr="00146522" w:rsidRDefault="00DC1675" w:rsidP="006C3DEE">
            <w:pPr>
              <w:textAlignment w:val="baseline"/>
              <w:rPr>
                <w:bdr w:val="none" w:sz="0" w:space="0" w:color="auto" w:frame="1"/>
                <w:lang w:val="en-GB" w:eastAsia="en-GB"/>
              </w:rPr>
            </w:pPr>
          </w:p>
          <w:p w14:paraId="38876A4D" w14:textId="77777777" w:rsidR="00DC1675" w:rsidRPr="00146522" w:rsidRDefault="00DC1675" w:rsidP="006C3DEE">
            <w:pPr>
              <w:textAlignment w:val="baseline"/>
              <w:rPr>
                <w:bdr w:val="none" w:sz="0" w:space="0" w:color="auto" w:frame="1"/>
                <w:lang w:val="en-GB" w:eastAsia="en-GB"/>
              </w:rPr>
            </w:pPr>
          </w:p>
          <w:p w14:paraId="01BEA037" w14:textId="77777777" w:rsidR="00DC1675" w:rsidRPr="00146522" w:rsidRDefault="00DC1675" w:rsidP="006C3DEE">
            <w:pPr>
              <w:textAlignment w:val="baseline"/>
              <w:rPr>
                <w:bdr w:val="none" w:sz="0" w:space="0" w:color="auto" w:frame="1"/>
                <w:lang w:val="en-GB" w:eastAsia="en-GB"/>
              </w:rPr>
            </w:pPr>
          </w:p>
          <w:p w14:paraId="07D5AC7C" w14:textId="77777777" w:rsidR="00DC1675" w:rsidRPr="00146522" w:rsidRDefault="00DC1675" w:rsidP="006C3DEE">
            <w:pPr>
              <w:textAlignment w:val="baseline"/>
              <w:rPr>
                <w:bdr w:val="none" w:sz="0" w:space="0" w:color="auto" w:frame="1"/>
                <w:lang w:val="en-GB" w:eastAsia="en-GB"/>
              </w:rPr>
            </w:pPr>
          </w:p>
          <w:p w14:paraId="11C3ACBA" w14:textId="77777777" w:rsidR="00DC1675" w:rsidRPr="00146522" w:rsidRDefault="00DC1675" w:rsidP="006C3DEE">
            <w:pPr>
              <w:textAlignment w:val="baseline"/>
              <w:rPr>
                <w:bdr w:val="none" w:sz="0" w:space="0" w:color="auto" w:frame="1"/>
                <w:lang w:val="en-GB" w:eastAsia="en-GB"/>
              </w:rPr>
            </w:pPr>
          </w:p>
          <w:p w14:paraId="72B387B5" w14:textId="3F6145E8" w:rsidR="00DC1675" w:rsidRPr="00146522" w:rsidRDefault="00DC1675" w:rsidP="006C3DEE">
            <w:pPr>
              <w:textAlignment w:val="baseline"/>
              <w:rPr>
                <w:bdr w:val="none" w:sz="0" w:space="0" w:color="auto" w:frame="1"/>
                <w:lang w:val="en-GB" w:eastAsia="en-GB"/>
              </w:rPr>
            </w:pPr>
            <w:r w:rsidRPr="00146522">
              <w:rPr>
                <w:bdr w:val="none" w:sz="0" w:space="0" w:color="auto" w:frame="1"/>
                <w:lang w:val="en-GB" w:eastAsia="en-GB"/>
              </w:rPr>
              <w:t xml:space="preserve">Moj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prijedlog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je da se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metoda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prijava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prilagodi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svim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zainteresiranim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neovisno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o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internetskoj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vezi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>.</w:t>
            </w:r>
          </w:p>
        </w:tc>
        <w:tc>
          <w:tcPr>
            <w:tcW w:w="2693" w:type="dxa"/>
          </w:tcPr>
          <w:p w14:paraId="0E73C519" w14:textId="77777777" w:rsidR="004E6F84" w:rsidRPr="00333924" w:rsidRDefault="00333924" w:rsidP="00912B47">
            <w:pPr>
              <w:rPr>
                <w:b/>
                <w:bCs/>
              </w:rPr>
            </w:pPr>
            <w:r w:rsidRPr="00333924">
              <w:rPr>
                <w:b/>
                <w:bCs/>
              </w:rPr>
              <w:t>Nije primjenjivo.</w:t>
            </w:r>
          </w:p>
          <w:p w14:paraId="3E86FEC7" w14:textId="77777777" w:rsidR="00333924" w:rsidRPr="00333924" w:rsidRDefault="00333924" w:rsidP="00912B47">
            <w:pPr>
              <w:rPr>
                <w:b/>
                <w:bCs/>
              </w:rPr>
            </w:pPr>
          </w:p>
          <w:p w14:paraId="6C6A2868" w14:textId="1ED12E99" w:rsidR="00333924" w:rsidRDefault="00333924" w:rsidP="00912B47">
            <w:r w:rsidRPr="00333924">
              <w:rPr>
                <w:b/>
                <w:bCs/>
              </w:rPr>
              <w:t>Način prijave nije  predmet Pravilnika.</w:t>
            </w:r>
          </w:p>
        </w:tc>
      </w:tr>
      <w:tr w:rsidR="004E6F84" w:rsidRPr="001836EB" w14:paraId="1D9710F6" w14:textId="77777777" w:rsidTr="00146522">
        <w:trPr>
          <w:trHeight w:val="983"/>
        </w:trPr>
        <w:tc>
          <w:tcPr>
            <w:tcW w:w="690" w:type="dxa"/>
          </w:tcPr>
          <w:p w14:paraId="04CD5A2F" w14:textId="1184B914" w:rsidR="004E6F84" w:rsidRPr="00146522" w:rsidRDefault="004E6F84" w:rsidP="004F53B0">
            <w:r w:rsidRPr="00146522">
              <w:t>4.</w:t>
            </w:r>
          </w:p>
        </w:tc>
        <w:tc>
          <w:tcPr>
            <w:tcW w:w="1721" w:type="dxa"/>
          </w:tcPr>
          <w:p w14:paraId="37A1250E" w14:textId="77777777" w:rsidR="004E6F84" w:rsidRPr="00146522" w:rsidRDefault="004E6F84" w:rsidP="004F53B0">
            <w:r w:rsidRPr="00146522">
              <w:t>Ante Klanac</w:t>
            </w:r>
          </w:p>
          <w:p w14:paraId="55096875" w14:textId="53DF25BF" w:rsidR="00825EBE" w:rsidRPr="00146522" w:rsidRDefault="00825EBE" w:rsidP="004F53B0">
            <w:r w:rsidRPr="00146522">
              <w:t>Čistoća Županja d.o.o.</w:t>
            </w:r>
          </w:p>
        </w:tc>
        <w:tc>
          <w:tcPr>
            <w:tcW w:w="1701" w:type="dxa"/>
          </w:tcPr>
          <w:p w14:paraId="67F58428" w14:textId="5F12B724" w:rsidR="004E6F84" w:rsidRPr="00146522" w:rsidRDefault="004E6F84" w:rsidP="004E6F84">
            <w:r w:rsidRPr="00146522">
              <w:t>Primjedbe i prijedlozi na pojedine članke nacrta prijedloga akta s obrazloženjem</w:t>
            </w:r>
          </w:p>
          <w:p w14:paraId="64F930DC" w14:textId="77777777" w:rsidR="004E6F84" w:rsidRPr="00146522" w:rsidRDefault="004E6F84" w:rsidP="003D4576"/>
        </w:tc>
        <w:tc>
          <w:tcPr>
            <w:tcW w:w="3402" w:type="dxa"/>
          </w:tcPr>
          <w:p w14:paraId="1570075C" w14:textId="15085658" w:rsidR="004E6F84" w:rsidRPr="00146522" w:rsidRDefault="00773542" w:rsidP="00DC1675">
            <w:pPr>
              <w:spacing w:before="240"/>
              <w:textAlignment w:val="baseline"/>
              <w:rPr>
                <w:bdr w:val="none" w:sz="0" w:space="0" w:color="auto" w:frame="1"/>
                <w:lang w:val="en-GB" w:eastAsia="en-GB"/>
              </w:rPr>
            </w:pPr>
            <w:r w:rsidRPr="00146522">
              <w:rPr>
                <w:bdr w:val="none" w:sz="0" w:space="0" w:color="auto" w:frame="1"/>
                <w:lang w:val="en-GB" w:eastAsia="en-GB"/>
              </w:rPr>
              <w:t xml:space="preserve">U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članku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8. </w:t>
            </w:r>
            <w:proofErr w:type="spellStart"/>
            <w:r w:rsidR="00B012DD" w:rsidRPr="00146522">
              <w:rPr>
                <w:bdr w:val="none" w:sz="0" w:space="0" w:color="auto" w:frame="1"/>
                <w:lang w:val="en-GB" w:eastAsia="en-GB"/>
              </w:rPr>
              <w:t>s</w:t>
            </w:r>
            <w:r w:rsidR="00DC1675" w:rsidRPr="00146522">
              <w:rPr>
                <w:bdr w:val="none" w:sz="0" w:space="0" w:color="auto" w:frame="1"/>
                <w:lang w:val="en-GB" w:eastAsia="en-GB"/>
              </w:rPr>
              <w:t>t.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4. </w:t>
            </w:r>
            <w:proofErr w:type="spellStart"/>
            <w:r w:rsidR="00B012DD" w:rsidRPr="00146522">
              <w:rPr>
                <w:bdr w:val="none" w:sz="0" w:space="0" w:color="auto" w:frame="1"/>
                <w:lang w:val="en-GB" w:eastAsia="en-GB"/>
              </w:rPr>
              <w:t>t</w:t>
            </w:r>
            <w:r w:rsidR="00DC1675" w:rsidRPr="00146522">
              <w:rPr>
                <w:bdr w:val="none" w:sz="0" w:space="0" w:color="auto" w:frame="1"/>
                <w:lang w:val="en-GB" w:eastAsia="en-GB"/>
              </w:rPr>
              <w:t>očka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4.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suvišno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je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propisivati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¨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sukladno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Odluci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o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redoslijedu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i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dinamici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zatvaranja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odlagališta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(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Narodne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novine 3/2019)”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jer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se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miješani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komunalni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otpad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s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područja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drugih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jedinica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lokalnih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samouprava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koja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su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svoja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lastRenderedPageBreak/>
              <w:t>odlagališta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zatvorila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zaprima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r w:rsidR="00B012DD" w:rsidRPr="00146522">
              <w:rPr>
                <w:bdr w:val="none" w:sz="0" w:space="0" w:color="auto" w:frame="1"/>
                <w:lang w:val="en-GB" w:eastAsia="en-GB"/>
              </w:rPr>
              <w:t xml:space="preserve">i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prije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spomenute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DC1675" w:rsidRPr="00146522">
              <w:rPr>
                <w:bdr w:val="none" w:sz="0" w:space="0" w:color="auto" w:frame="1"/>
                <w:lang w:val="en-GB" w:eastAsia="en-GB"/>
              </w:rPr>
              <w:t>Odluke</w:t>
            </w:r>
            <w:proofErr w:type="spellEnd"/>
            <w:r w:rsidR="00DC1675" w:rsidRPr="00146522">
              <w:rPr>
                <w:bdr w:val="none" w:sz="0" w:space="0" w:color="auto" w:frame="1"/>
                <w:lang w:val="en-GB" w:eastAsia="en-GB"/>
              </w:rPr>
              <w:t>.</w:t>
            </w:r>
          </w:p>
          <w:p w14:paraId="3D8F53D3" w14:textId="7CF4AFCE" w:rsidR="00DC1675" w:rsidRPr="00146522" w:rsidRDefault="00DC1675" w:rsidP="00DC1675">
            <w:pPr>
              <w:spacing w:before="240"/>
              <w:textAlignment w:val="baseline"/>
              <w:rPr>
                <w:bdr w:val="none" w:sz="0" w:space="0" w:color="auto" w:frame="1"/>
                <w:lang w:val="en-GB" w:eastAsia="en-GB"/>
              </w:rPr>
            </w:pP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Predlažemo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da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članak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8. </w:t>
            </w:r>
            <w:proofErr w:type="spellStart"/>
            <w:r w:rsidR="00B012DD" w:rsidRPr="00146522">
              <w:rPr>
                <w:bdr w:val="none" w:sz="0" w:space="0" w:color="auto" w:frame="1"/>
                <w:lang w:val="en-GB" w:eastAsia="en-GB"/>
              </w:rPr>
              <w:t>s</w:t>
            </w:r>
            <w:r w:rsidRPr="00146522">
              <w:rPr>
                <w:bdr w:val="none" w:sz="0" w:space="0" w:color="auto" w:frame="1"/>
                <w:lang w:val="en-GB" w:eastAsia="en-GB"/>
              </w:rPr>
              <w:t>t.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4.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točka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4.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glasi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>:</w:t>
            </w:r>
          </w:p>
          <w:p w14:paraId="46D45864" w14:textId="6BEA73E7" w:rsidR="00DC1675" w:rsidRPr="00146522" w:rsidRDefault="00DC1675" w:rsidP="00DC1675">
            <w:pPr>
              <w:spacing w:before="240"/>
              <w:textAlignment w:val="baseline"/>
              <w:rPr>
                <w:bdr w:val="none" w:sz="0" w:space="0" w:color="auto" w:frame="1"/>
                <w:lang w:val="en-GB" w:eastAsia="en-GB"/>
              </w:rPr>
            </w:pPr>
            <w:r w:rsidRPr="00146522">
              <w:rPr>
                <w:bdr w:val="none" w:sz="0" w:space="0" w:color="auto" w:frame="1"/>
                <w:lang w:val="en-GB" w:eastAsia="en-GB"/>
              </w:rPr>
              <w:t xml:space="preserve">“90%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opravdanih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troškova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ukupne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vrijednosti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ulaganja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ako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se,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radi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osiguranja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razmjernosti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usmjeravanja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odlaganja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mješanog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komunalnog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otpada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na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lokaciji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odlagališta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otpada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koja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sanacija</w:t>
            </w:r>
            <w:proofErr w:type="spellEnd"/>
            <w:r w:rsidRPr="00146522">
              <w:rPr>
                <w:bdr w:val="none" w:sz="0" w:space="0" w:color="auto" w:frame="1"/>
                <w:lang w:val="en-GB" w:eastAsia="en-GB"/>
              </w:rPr>
              <w:t xml:space="preserve"> je u </w:t>
            </w:r>
            <w:proofErr w:type="spellStart"/>
            <w:r w:rsidRPr="00146522">
              <w:rPr>
                <w:bdr w:val="none" w:sz="0" w:space="0" w:color="auto" w:frame="1"/>
                <w:lang w:val="en-GB" w:eastAsia="en-GB"/>
              </w:rPr>
              <w:t>tijeku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omogućava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zaprimanje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miješanog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komunalnog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otpada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s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drugih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područja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jedinica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lokalnih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samouprava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koja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su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svoja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odlagališta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zatvorila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, a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sve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do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početka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rada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odgovarajućeg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centra za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gospodarenje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="0082402B" w:rsidRPr="00146522">
              <w:rPr>
                <w:bdr w:val="none" w:sz="0" w:space="0" w:color="auto" w:frame="1"/>
                <w:lang w:val="en-GB" w:eastAsia="en-GB"/>
              </w:rPr>
              <w:t>otpadom</w:t>
            </w:r>
            <w:proofErr w:type="spellEnd"/>
            <w:r w:rsidR="0082402B" w:rsidRPr="00146522">
              <w:rPr>
                <w:bdr w:val="none" w:sz="0" w:space="0" w:color="auto" w:frame="1"/>
                <w:lang w:val="en-GB" w:eastAsia="en-GB"/>
              </w:rPr>
              <w:t>”</w:t>
            </w:r>
          </w:p>
        </w:tc>
        <w:tc>
          <w:tcPr>
            <w:tcW w:w="2693" w:type="dxa"/>
          </w:tcPr>
          <w:p w14:paraId="0C7A170D" w14:textId="77777777" w:rsidR="004E6F84" w:rsidRPr="001836EB" w:rsidRDefault="00A657E9" w:rsidP="00912B47">
            <w:pPr>
              <w:rPr>
                <w:b/>
                <w:bCs/>
                <w:color w:val="191919"/>
                <w:spacing w:val="-1"/>
                <w:w w:val="105"/>
              </w:rPr>
            </w:pPr>
            <w:r w:rsidRPr="001836EB">
              <w:rPr>
                <w:b/>
                <w:bCs/>
                <w:color w:val="191919"/>
                <w:spacing w:val="-1"/>
                <w:w w:val="105"/>
              </w:rPr>
              <w:lastRenderedPageBreak/>
              <w:t>Djelomično p</w:t>
            </w:r>
            <w:r w:rsidR="00333924" w:rsidRPr="001836EB">
              <w:rPr>
                <w:b/>
                <w:bCs/>
                <w:color w:val="191919"/>
                <w:spacing w:val="-1"/>
                <w:w w:val="105"/>
              </w:rPr>
              <w:t>rihvaćeno.</w:t>
            </w:r>
          </w:p>
          <w:p w14:paraId="35F87B25" w14:textId="77777777" w:rsidR="00A657E9" w:rsidRPr="001836EB" w:rsidRDefault="00A657E9" w:rsidP="00912B47">
            <w:pPr>
              <w:rPr>
                <w:b/>
                <w:bCs/>
                <w:color w:val="191919"/>
                <w:spacing w:val="-1"/>
                <w:w w:val="105"/>
              </w:rPr>
            </w:pPr>
          </w:p>
          <w:p w14:paraId="5B4FC074" w14:textId="7E5F59A7" w:rsidR="00A657E9" w:rsidRPr="001836EB" w:rsidRDefault="00A657E9" w:rsidP="00912B47">
            <w:pPr>
              <w:rPr>
                <w:b/>
                <w:bCs/>
                <w:color w:val="191919"/>
                <w:spacing w:val="-1"/>
                <w:w w:val="105"/>
              </w:rPr>
            </w:pPr>
            <w:r w:rsidRPr="001836EB">
              <w:rPr>
                <w:b/>
                <w:bCs/>
                <w:color w:val="191919"/>
                <w:spacing w:val="-1"/>
                <w:w w:val="105"/>
              </w:rPr>
              <w:t xml:space="preserve">Prihvaća se primjedba da se miješani komunalni otpad zaprima i s područja drugih jedinica lokalne samouprave koja su svoja odlagališta </w:t>
            </w:r>
            <w:r w:rsidRPr="001836EB">
              <w:rPr>
                <w:b/>
                <w:bCs/>
                <w:color w:val="191919"/>
                <w:spacing w:val="-1"/>
                <w:w w:val="105"/>
              </w:rPr>
              <w:lastRenderedPageBreak/>
              <w:t xml:space="preserve">zatvorila prije </w:t>
            </w:r>
            <w:proofErr w:type="spellStart"/>
            <w:r w:rsidRPr="001836EB">
              <w:rPr>
                <w:b/>
                <w:bCs/>
                <w:color w:val="191919"/>
                <w:spacing w:val="-1"/>
                <w:w w:val="105"/>
              </w:rPr>
              <w:t>cit</w:t>
            </w:r>
            <w:proofErr w:type="spellEnd"/>
            <w:r w:rsidRPr="001836EB">
              <w:rPr>
                <w:b/>
                <w:bCs/>
                <w:color w:val="191919"/>
                <w:spacing w:val="-1"/>
                <w:w w:val="105"/>
              </w:rPr>
              <w:t xml:space="preserve">. Odluke te će se u tom svjetlu dopuniti odredba </w:t>
            </w:r>
            <w:r w:rsidR="001836EB">
              <w:rPr>
                <w:b/>
                <w:bCs/>
                <w:color w:val="191919"/>
                <w:spacing w:val="-1"/>
                <w:w w:val="105"/>
              </w:rPr>
              <w:t xml:space="preserve">članka 8. stavka 4. </w:t>
            </w:r>
            <w:r w:rsidR="00FF5B43">
              <w:rPr>
                <w:b/>
                <w:bCs/>
                <w:color w:val="191919"/>
                <w:spacing w:val="-1"/>
                <w:w w:val="105"/>
              </w:rPr>
              <w:t xml:space="preserve">točke 4. </w:t>
            </w:r>
            <w:r w:rsidR="001836EB">
              <w:rPr>
                <w:b/>
                <w:bCs/>
                <w:color w:val="191919"/>
                <w:spacing w:val="-1"/>
                <w:w w:val="105"/>
              </w:rPr>
              <w:t xml:space="preserve">Pravilnika </w:t>
            </w:r>
            <w:r w:rsidRPr="001836EB">
              <w:rPr>
                <w:b/>
                <w:bCs/>
                <w:color w:val="191919"/>
                <w:spacing w:val="-1"/>
                <w:w w:val="105"/>
              </w:rPr>
              <w:t>na način da će Fond sufinancirati i takva odlagališta otpada  u visini 90% opravdanih troškova, sukladno izvorima i namjenama utvrđenim programom rada i financijskim planom za svaku tekuću godinu</w:t>
            </w:r>
            <w:r w:rsidR="00EB7FE4" w:rsidRPr="001836EB">
              <w:rPr>
                <w:b/>
                <w:bCs/>
                <w:color w:val="191919"/>
                <w:spacing w:val="-1"/>
                <w:w w:val="105"/>
              </w:rPr>
              <w:t>.</w:t>
            </w:r>
          </w:p>
        </w:tc>
      </w:tr>
    </w:tbl>
    <w:p w14:paraId="29D4246D" w14:textId="77777777" w:rsidR="00BD75B8" w:rsidRPr="00F62D86" w:rsidRDefault="00BD75B8" w:rsidP="00487368"/>
    <w:sectPr w:rsidR="00BD75B8" w:rsidRPr="00F62D86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C4D3B"/>
    <w:multiLevelType w:val="hybridMultilevel"/>
    <w:tmpl w:val="1C10144A"/>
    <w:lvl w:ilvl="0" w:tplc="C6148070">
      <w:start w:val="1"/>
      <w:numFmt w:val="bullet"/>
      <w:lvlText w:val="-"/>
      <w:lvlJc w:val="left"/>
      <w:pPr>
        <w:ind w:left="508" w:hanging="359"/>
      </w:pPr>
      <w:rPr>
        <w:rFonts w:ascii="Arial" w:eastAsia="Arial" w:hAnsi="Arial" w:cs="Times New Roman" w:hint="default"/>
        <w:color w:val="171717"/>
        <w:w w:val="107"/>
        <w:sz w:val="24"/>
        <w:szCs w:val="24"/>
      </w:rPr>
    </w:lvl>
    <w:lvl w:ilvl="1" w:tplc="C436D978">
      <w:start w:val="1"/>
      <w:numFmt w:val="bullet"/>
      <w:lvlText w:val="•"/>
      <w:lvlJc w:val="left"/>
      <w:pPr>
        <w:ind w:left="1378" w:hanging="359"/>
      </w:pPr>
    </w:lvl>
    <w:lvl w:ilvl="2" w:tplc="75804E60">
      <w:start w:val="1"/>
      <w:numFmt w:val="bullet"/>
      <w:lvlText w:val="•"/>
      <w:lvlJc w:val="left"/>
      <w:pPr>
        <w:ind w:left="2248" w:hanging="359"/>
      </w:pPr>
    </w:lvl>
    <w:lvl w:ilvl="3" w:tplc="4C28F2A6">
      <w:start w:val="1"/>
      <w:numFmt w:val="bullet"/>
      <w:lvlText w:val="•"/>
      <w:lvlJc w:val="left"/>
      <w:pPr>
        <w:ind w:left="3118" w:hanging="359"/>
      </w:pPr>
    </w:lvl>
    <w:lvl w:ilvl="4" w:tplc="88B02944">
      <w:start w:val="1"/>
      <w:numFmt w:val="bullet"/>
      <w:lvlText w:val="•"/>
      <w:lvlJc w:val="left"/>
      <w:pPr>
        <w:ind w:left="3988" w:hanging="359"/>
      </w:pPr>
    </w:lvl>
    <w:lvl w:ilvl="5" w:tplc="98CC6F5A">
      <w:start w:val="1"/>
      <w:numFmt w:val="bullet"/>
      <w:lvlText w:val="•"/>
      <w:lvlJc w:val="left"/>
      <w:pPr>
        <w:ind w:left="4859" w:hanging="359"/>
      </w:pPr>
    </w:lvl>
    <w:lvl w:ilvl="6" w:tplc="3048B520">
      <w:start w:val="1"/>
      <w:numFmt w:val="bullet"/>
      <w:lvlText w:val="•"/>
      <w:lvlJc w:val="left"/>
      <w:pPr>
        <w:ind w:left="5729" w:hanging="359"/>
      </w:pPr>
    </w:lvl>
    <w:lvl w:ilvl="7" w:tplc="0D9C6538">
      <w:start w:val="1"/>
      <w:numFmt w:val="bullet"/>
      <w:lvlText w:val="•"/>
      <w:lvlJc w:val="left"/>
      <w:pPr>
        <w:ind w:left="6599" w:hanging="359"/>
      </w:pPr>
    </w:lvl>
    <w:lvl w:ilvl="8" w:tplc="9F1674F8">
      <w:start w:val="1"/>
      <w:numFmt w:val="bullet"/>
      <w:lvlText w:val="•"/>
      <w:lvlJc w:val="left"/>
      <w:pPr>
        <w:ind w:left="7469" w:hanging="359"/>
      </w:pPr>
    </w:lvl>
  </w:abstractNum>
  <w:abstractNum w:abstractNumId="1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87264">
    <w:abstractNumId w:val="1"/>
  </w:num>
  <w:num w:numId="2" w16cid:durableId="25293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68"/>
    <w:rsid w:val="00040F42"/>
    <w:rsid w:val="0006713B"/>
    <w:rsid w:val="0010210A"/>
    <w:rsid w:val="00111558"/>
    <w:rsid w:val="00126231"/>
    <w:rsid w:val="00146522"/>
    <w:rsid w:val="001643F7"/>
    <w:rsid w:val="001836EB"/>
    <w:rsid w:val="001943BB"/>
    <w:rsid w:val="001B1C8E"/>
    <w:rsid w:val="001B237F"/>
    <w:rsid w:val="001E76D7"/>
    <w:rsid w:val="00213B7F"/>
    <w:rsid w:val="0021407F"/>
    <w:rsid w:val="00244F2B"/>
    <w:rsid w:val="00263EE5"/>
    <w:rsid w:val="002A1BE0"/>
    <w:rsid w:val="002B40A1"/>
    <w:rsid w:val="002D0952"/>
    <w:rsid w:val="002E0F75"/>
    <w:rsid w:val="002F1C23"/>
    <w:rsid w:val="00313306"/>
    <w:rsid w:val="00333924"/>
    <w:rsid w:val="003722CC"/>
    <w:rsid w:val="003D4576"/>
    <w:rsid w:val="003E3FEF"/>
    <w:rsid w:val="00423E43"/>
    <w:rsid w:val="00446F4C"/>
    <w:rsid w:val="00485374"/>
    <w:rsid w:val="00487368"/>
    <w:rsid w:val="004E6F84"/>
    <w:rsid w:val="004F53B0"/>
    <w:rsid w:val="00547EF6"/>
    <w:rsid w:val="005961AD"/>
    <w:rsid w:val="005F5735"/>
    <w:rsid w:val="00640357"/>
    <w:rsid w:val="006542A2"/>
    <w:rsid w:val="006555AE"/>
    <w:rsid w:val="00655B19"/>
    <w:rsid w:val="006C3DEE"/>
    <w:rsid w:val="00706885"/>
    <w:rsid w:val="00773542"/>
    <w:rsid w:val="00776E40"/>
    <w:rsid w:val="007E71E0"/>
    <w:rsid w:val="0082402B"/>
    <w:rsid w:val="00825EBE"/>
    <w:rsid w:val="008A6782"/>
    <w:rsid w:val="008D45D7"/>
    <w:rsid w:val="00912B47"/>
    <w:rsid w:val="00924301"/>
    <w:rsid w:val="009417F7"/>
    <w:rsid w:val="009A5822"/>
    <w:rsid w:val="009A770A"/>
    <w:rsid w:val="009B6CE1"/>
    <w:rsid w:val="009E6C65"/>
    <w:rsid w:val="00A26B58"/>
    <w:rsid w:val="00A657E9"/>
    <w:rsid w:val="00AB25A6"/>
    <w:rsid w:val="00AC2D79"/>
    <w:rsid w:val="00B012DD"/>
    <w:rsid w:val="00B56428"/>
    <w:rsid w:val="00B801C5"/>
    <w:rsid w:val="00BC0F76"/>
    <w:rsid w:val="00BD029F"/>
    <w:rsid w:val="00BD75B8"/>
    <w:rsid w:val="00C176A4"/>
    <w:rsid w:val="00C35E86"/>
    <w:rsid w:val="00C57758"/>
    <w:rsid w:val="00CE18FC"/>
    <w:rsid w:val="00CE1F69"/>
    <w:rsid w:val="00DC1675"/>
    <w:rsid w:val="00DC4D0E"/>
    <w:rsid w:val="00DD1EF3"/>
    <w:rsid w:val="00E02E26"/>
    <w:rsid w:val="00E355CF"/>
    <w:rsid w:val="00E52896"/>
    <w:rsid w:val="00E6217B"/>
    <w:rsid w:val="00E76E24"/>
    <w:rsid w:val="00E85330"/>
    <w:rsid w:val="00EB7FE4"/>
    <w:rsid w:val="00ED52BB"/>
    <w:rsid w:val="00EE6FFC"/>
    <w:rsid w:val="00F350BB"/>
    <w:rsid w:val="00F62D86"/>
    <w:rsid w:val="00FA2545"/>
    <w:rsid w:val="00FA35FA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F62D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62D86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unhideWhenUsed/>
    <w:rsid w:val="004F53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Naglaeno">
    <w:name w:val="Strong"/>
    <w:basedOn w:val="Zadanifontodlomka"/>
    <w:uiPriority w:val="22"/>
    <w:qFormat/>
    <w:rsid w:val="001B237F"/>
    <w:rPr>
      <w:b/>
      <w:bCs/>
    </w:rPr>
  </w:style>
  <w:style w:type="paragraph" w:styleId="StandardWeb">
    <w:name w:val="Normal (Web)"/>
    <w:basedOn w:val="Normal"/>
    <w:uiPriority w:val="99"/>
    <w:unhideWhenUsed/>
    <w:rsid w:val="001E76D7"/>
    <w:pPr>
      <w:spacing w:before="100" w:beforeAutospacing="1" w:after="100" w:afterAutospacing="1"/>
    </w:pPr>
    <w:rPr>
      <w:lang w:val="en-GB" w:eastAsia="en-GB"/>
    </w:rPr>
  </w:style>
  <w:style w:type="paragraph" w:customStyle="1" w:styleId="pf0">
    <w:name w:val="pf0"/>
    <w:basedOn w:val="Normal"/>
    <w:rsid w:val="00E6217B"/>
    <w:pPr>
      <w:spacing w:before="100" w:beforeAutospacing="1" w:after="100" w:afterAutospacing="1"/>
    </w:pPr>
  </w:style>
  <w:style w:type="character" w:customStyle="1" w:styleId="cf01">
    <w:name w:val="cf01"/>
    <w:basedOn w:val="Zadanifontodlomka"/>
    <w:rsid w:val="00E6217B"/>
    <w:rPr>
      <w:rFonts w:ascii="Segoe UI" w:hAnsi="Segoe UI" w:cs="Segoe UI" w:hint="default"/>
      <w:sz w:val="18"/>
      <w:szCs w:val="18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111558"/>
    <w:pPr>
      <w:widowControl w:val="0"/>
      <w:ind w:left="131"/>
    </w:pPr>
    <w:rPr>
      <w:rFonts w:ascii="Arial" w:eastAsia="Arial" w:hAnsi="Arial" w:cstheme="minorBidi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11558"/>
    <w:rPr>
      <w:rFonts w:ascii="Arial" w:eastAsia="Arial" w:hAnsi="Arial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DEA0-72CC-409D-B423-561826D2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11</Pages>
  <Words>2312</Words>
  <Characters>14526</Characters>
  <Application>Microsoft Office Word</Application>
  <DocSecurity>0</DocSecurity>
  <Lines>121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Grad Zagreb</Company>
  <LinksUpToDate>false</LinksUpToDate>
  <CharactersWithSpaces>16805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Srđana Piasevoli</cp:lastModifiedBy>
  <cp:revision>30</cp:revision>
  <cp:lastPrinted>2024-03-28T13:39:00Z</cp:lastPrinted>
  <dcterms:created xsi:type="dcterms:W3CDTF">2024-03-21T09:44:00Z</dcterms:created>
  <dcterms:modified xsi:type="dcterms:W3CDTF">2024-03-28T14:23:00Z</dcterms:modified>
</cp:coreProperties>
</file>