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fd4e435e642fe" /></Relationships>
</file>

<file path=word/document.xml><?xml version="1.0" encoding="utf-8"?>
<w:document xmlns:w="http://schemas.openxmlformats.org/wordprocessingml/2006/main">
  <w:body>
    <w:sectPr>
      <w:pgMar w:top="1417" w:right="1417" w:bottom="1417" w:left="1417"/>
    </w:sectPr>
    <w:p>
      <w:pPr>
        <w:spacing w:line="360"/>
        <w:jc w:val="center"/>
      </w:pPr>
      <w:r>
        <w:rPr>
          <w:b/>
          <w:sz w:val="24"/>
          <w:rFonts w:ascii="Times New Roman" w:hAnsi="Times New Roman" w:cs="Times New Roman"/>
        </w:rPr>
        <w:t xml:space="preserve">OBRAZLOŽENJE IZVRŠENJA FINANCIJSKOG PLANA FONDA ZA ZAŠTITU OKOLIŠA I ENERGETSKU UČINKOVITOST ZA PRVO POLUGODIŠTE 2024. GODINE</w:t>
      </w:r>
    </w:p>
    <w:p>
      <w:pPr>
        <w:spacing w:line="360"/>
        <w:jc w:val="left"/>
      </w:pPr>
      <w:r>
        <w:rPr>
          <w:b/>
          <w:u w:val="single"/>
          <w:sz w:val="24"/>
          <w:rFonts w:ascii="Times New Roman" w:hAnsi="Times New Roman" w:cs="Times New Roman"/>
        </w:rPr>
        <w:br/>
        <w:t xml:space="preserve">UVOD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Fond za zaštitu okoliša i energetsku
učinkovitost (u daljnjem tekstu: Fond) osnovan je kao izvanproračunski fond u
svojstvu pravne osobe s javnim ovlastima na temelju Zakona o Fondu za zaštitu
okoliša i energetsku učinkovitost (NN 107/03 i 144/12), (u daljnjem tekstu:
Zakon o Fondu).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Zakonom o proračunu (NN 144/21) i
Pravilnikom o polugodišnjem i godišnjem izvještaju o izvršenju proračuna (NN
85/23) propisana je obveza sastavljanja polugodišnjeg izvještaja o izvršenju
financijskog plana te njegova podnošenja na donošenje Hrvatskom saboru.</w:t>
      </w:r>
    </w:p>
    <w:p>
      <w:pPr>
        <w:spacing w:line="360"/>
        <w:jc w:val="left"/>
      </w:pPr>
      <w:r>
        <w:rPr>
          <w:b/>
          <w:u w:val="single"/>
          <w:sz w:val="24"/>
          <w:rFonts w:ascii="Times New Roman" w:hAnsi="Times New Roman" w:cs="Times New Roman"/>
        </w:rPr>
        <w:br/>
        <w:t xml:space="preserve">PRIHODI</w:t>
      </w:r>
    </w:p>
    <w:tbl>
      <w:tblPr>
        <w:tblW w:w="4850" w:type="pct"/>
        <w:tblBorders>
          <w:top w:val="single" w:sz="5"/>
          <w:bottom w:val="single" w:sz="5"/>
          <w:left w:val="single" w:sz="5"/>
          <w:right w:val="single" w:sz="5"/>
          <w:insideH w:val="single" w:sz="5"/>
          <w:insideV w:val="single" w:sz="5"/>
        </w:tblBorders>
        <w:tblCellMar>
          <w:top w:w="0" w:type="dxa"/>
          <w:start w:w="100" w:type="dxa"/>
          <w:bottom w:w="0" w:type="dxa"/>
          <w:end w:w="100" w:type="dxa"/>
        </w:tblCellMar>
      </w:tblPr>
      <w:tr>
        <w:tc>
          <w:tcPr>
            <w:tcW w:w="14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BROJČANA OZNAKA I NAZIV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OSTVARENJE</w:t>
              <w:br/>
              <w:t>1.-6. 2023.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PLAN</w:t>
              <w:br/>
              <w:t>2024.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OSTVARENJE</w:t>
              <w:br/>
              <w:t>1.-6. 2024.</w:t>
            </w:r>
          </w:p>
        </w:tc>
        <w:tc>
          <w:tcPr>
            <w:tcW w:w="5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INDEKS</w:t>
            </w:r>
          </w:p>
        </w:tc>
        <w:tc>
          <w:tcPr>
            <w:tcW w:w="5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INDEKS</w:t>
            </w:r>
          </w:p>
        </w:tc>
      </w:tr>
      <w:tr>
        <w:tc>
          <w:tcPr>
            <w:tcW w:w="14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1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2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3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4</w:t>
            </w:r>
          </w:p>
        </w:tc>
        <w:tc>
          <w:tcPr>
            <w:tcW w:w="5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5=4/2</w:t>
            </w:r>
          </w:p>
        </w:tc>
        <w:tc>
          <w:tcPr>
            <w:tcW w:w="5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6=4/3</w:t>
            </w:r>
          </w:p>
        </w:tc>
      </w:tr>
      <w:tr>
        <w:tc>
          <w:tcPr>
            <w:tcW w:w="1400" w:type="pct"/>
            <w:vAlign w:val="bottom"/>
          </w:tcPr>
          <w:p>
            <w:pPr>
              <w:spacing w:after="0" w:line="240"/>
              <w:jc w:val="left"/>
            </w:pPr>
            <w:r>
              <w:rPr>
                <w:sz w:val="18"/>
                <w:rFonts w:ascii="Times New Roman" w:hAnsi="Times New Roman" w:cs="Times New Roman"/>
              </w:rPr>
              <w:t>6 PRIHODI POSLOVANJA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185.050.448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393.980.714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185.415.233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100,2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47,1</w:t>
            </w:r>
          </w:p>
        </w:tc>
      </w:tr>
      <w:tr>
        <w:tc>
          <w:tcPr>
            <w:tcW w:w="1400" w:type="pct"/>
            <w:vAlign w:val="bottom"/>
          </w:tcPr>
          <w:p>
            <w:pPr>
              <w:spacing w:after="0" w:line="240"/>
              <w:jc w:val="left"/>
            </w:pPr>
            <w:r>
              <w:rPr>
                <w:sz w:val="18"/>
                <w:rFonts w:ascii="Times New Roman" w:hAnsi="Times New Roman" w:cs="Times New Roman"/>
              </w:rPr>
              <w:t>7 PRIHODI OD PRODAJE NEFINANCIJSKE IMOVINE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0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0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226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/>
            </w:r>
          </w:p>
        </w:tc>
        <w:tc>
          <w:tcPr>
            <w:tcW w:w="5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/>
            </w:r>
          </w:p>
        </w:tc>
      </w:tr>
      <w:tr>
        <w:tc>
          <w:tcPr>
            <w:tcW w:w="1400" w:type="pct"/>
            <w:vAlign w:val="bottom"/>
          </w:tcPr>
          <w:p>
            <w:pPr>
              <w:spacing w:after="0" w:line="240"/>
              <w:jc w:val="left"/>
            </w:pPr>
            <w:r>
              <w:rPr>
                <w:b/>
                <w:sz w:val="18"/>
                <w:rFonts w:ascii="Times New Roman" w:hAnsi="Times New Roman" w:cs="Times New Roman"/>
              </w:rPr>
              <w:t>UKUPNI PRIHODI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185.050.448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393.980.714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185.415.458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100,2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47,1</w:t>
            </w:r>
          </w:p>
        </w:tc>
      </w:tr>
    </w:tbl>
    <w:p>
      <w:pPr>
        <w:spacing w:after="0" w:line="240"/>
      </w:pP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Prihodi Fonda u razdoblju I.-VI. 2024.
godine ostvareni u iznosu od 185.415.458,44 EUR ili 47,06% godišnjeg plana te
su unatoč smanjenju pomoći iz inozemstva i subjekata unutar općeg proračuna
veći od prihoda u istom razdoblju 2023. godine za 365.010,50 EUR odnosno za
0,20%, uslijed povećanja prihoda od imovine i povećanja prihoda s osnove
Upravnih i administrativnih pristojbi (naknada).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Najveće udio povećanja s osnove Upravnih i
administrativnih pristojbi u odnosu na isto razdoblje 2023. godine odnosi se na
prihode od naknada za ambalažu i ambalažni otpad, naknada za gospodarenje
otpadnim vozilima te naknada za gospodarenje EE otpadom.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Pomoći od međunarodnih organizacija
ostvarene su u iznosu od 13.064,54 EUR (29,92% planiranih sredstava), a odnose
se na refundaciju plaća djelatnika za rad na Projektu Interreg Monitor EE. 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Pomoći proračunu iz drugih proračuna
ostvarene su u iznosu od 383.906,88 EUR (38,45% planiranih sredstava), a odnose
se na dio financijskih sredstava od prodaje emisijskih jedinica stakleničkih
plinova putem dražbi za pokriće administrativnih troškova Fonda. U odnosu na
isto izvještajno razdoblje 2023. godine realizacija je manja za 31,39% obzirom
da je radi pada cijene emisijskih jedinica ostvaren manji prihod od prodaje
emisijskih jedinica u svrhu pokrića administrativnih rashoda.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Pomoći temeljem prijenosa EU sredstava
ostvarene su u iznosu od 577.242,29 EUR (5,77% planiranih sredstava), a odnose
se na pomoći iz državnog proračuna temeljem prijenosa EU sredstava za tehničku
pomoć za rad posredničkog tijela razine 2 (PT2) u iznosu od 510.418,01 EUR te
na projekt sanacije odlagališta opasnog otpada Sovjak u iznosu od 66.824,28
EUR. U odnosu na isto izvještajno razdoblje 2023. godine realizacija je manja
za 69,85% prvenstveno radi sporije realizacije projekta sanacije odlagališta opasnog
otpada Sovjak.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Prihodi od financijske imovine ostvareni
su u iznosu od 1.214.571,28 EUR (130,73% planiranih sredstava), a odnose se na
kamate na oročena sredstva i depozite po viđenju, zakonske zatezne kamate i
ostale prihode od financijske imovine. U odnosu na isto izvještajno razdoblje
2023. godine realizacija je veća za 560,94% prvenstveno radi veće realizacije
prihoda s osnove kamata na depozite po viđenju obzirom da je Fond ugovorio
povoljniju kamatnu stopu na novčana sredstva u poslovnim bankama. 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Prihodi s osnove upravnih i administrativnih
pristojbi ostvareni su u iznosu od 103.878.595,67 EUR (53,07% planiranih
sredstava), a odnose se na prihode od naknada temeljem Zakona o Fondu u iznosu
od 14.209.747,60 EUR, prihode od naknada temeljem Zakona o gospodarenju otpadom
(NN 84/21, 142/23) u iznosu od 89.668.197,66 EUR, prihode od naknade za EU
ecolabel temeljem Zakona o zaštiti okoliša (NN 80/13, 153/13, 78/15, 12/18,
118/18) u iznosu od 650,35 EUR i prihode od kontroliranih tvari temeljem Zakona
o klimatskim promjenama i zaštiti ozonskog sloja (NN 127/19) u iznosu od 0,06
EUR. U odnosu na isto izvještajno razdoblje 2023. godine realizacija je veća za
13,05% prvenstveno radi veće realizacije prihoda s osnove naknada za
gospodarenja posebnim kategorijama otpada s izuzetkom naknade za gospodarenje
otpadnim gumama i naknade za gospodarenje otpadnim baterijama i akumulatorima
na kojima je realizacija manja.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Prihodi po posebnim propisima ostvareni su
u iznosu od 79.274.775,50 EUR (42,62% planiranih sredstava), a odnose se na
prihode od prodaje emisijskih jedinica stakleničkih plinova putem dražbi u
iznosu od 50.887.343,75 i prihode iz Modernizacijskog fonda u iznosu do
7.921.182,04 EUR temeljem Zakona o klimatskim promjenama i zaštiti ozonskog
sloja, prihode od nestavljanja biogoriva na tržište temeljem Zakona o
biogorivima za prijevoz (NN 65/09, 145/10, 26/11, 144/12, 14/14, 94/18, 52/21)
u iznosu od 13.878.883,94 EUR, prihode od viška energetskih subjekata temeljem
Uredbe o zakonu o hitnoj intervenciji za rješavanje pitanja visokih cijena
električne energije (NN 156/22) u iznosu od 6.587.365,77 EUR. U odnosu na isto
izvještajno razdoblje 2023. godine radi niže cijene emisijskih jedinica
realizacija prihoda od prodaje emisijskih jedinica je manja za 12,28%. 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Prihodi od prodaje proizvoda i robe te
pruženih usluga i prihodi od donacija te povrati po protestiranim jamstvima
ostvareni su u iznosu od 3.415,50 EUR (12,80% planiranih sredstava), a odnose
se na najam prostora (parkirnih mjesta). Realizacija je identična realizaciji
istog izvještajnog razdoblja 2023. godine.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Ostali prihodi ostvareni su u iznosu od
69.661,13 EUR (26,24% planiranih sredstava), a najvećim djelom se odnose na
naplaćena potraživanja po sudskim presudama i manji su za 47,04% u odnosu na
isto izvještajno razdoblje 2023. godine.</w:t>
      </w:r>
    </w:p>
    <w:p>
      <w:pPr>
        <w:spacing w:line="360"/>
        <w:jc w:val="left"/>
      </w:pPr>
      <w:r>
        <w:rPr>
          <w:b/>
          <w:u w:val="single"/>
          <w:sz w:val="24"/>
          <w:rFonts w:ascii="Times New Roman" w:hAnsi="Times New Roman" w:cs="Times New Roman"/>
        </w:rPr>
        <w:br/>
        <w:t xml:space="preserve">RASHODI</w:t>
      </w:r>
    </w:p>
    <w:tbl>
      <w:tblPr>
        <w:tblW w:w="4850" w:type="pct"/>
        <w:tblBorders>
          <w:top w:val="single" w:sz="5"/>
          <w:bottom w:val="single" w:sz="5"/>
          <w:left w:val="single" w:sz="5"/>
          <w:right w:val="single" w:sz="5"/>
          <w:insideH w:val="single" w:sz="5"/>
          <w:insideV w:val="single" w:sz="5"/>
        </w:tblBorders>
        <w:tblCellMar>
          <w:top w:w="0" w:type="dxa"/>
          <w:start w:w="100" w:type="dxa"/>
          <w:bottom w:w="0" w:type="dxa"/>
          <w:end w:w="100" w:type="dxa"/>
        </w:tblCellMar>
      </w:tblPr>
      <w:tr>
        <w:tc>
          <w:tcPr>
            <w:tcW w:w="14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BROJČANA OZNAKA I NAZIV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IZVRŠENJE</w:t>
              <w:br/>
              <w:t>1.-6. 2023.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PLAN</w:t>
              <w:br/>
              <w:t>2024.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IZVRŠENJE</w:t>
              <w:br/>
              <w:t>1.-6. 2024.</w:t>
            </w:r>
          </w:p>
        </w:tc>
        <w:tc>
          <w:tcPr>
            <w:tcW w:w="5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INDEKS</w:t>
            </w:r>
          </w:p>
        </w:tc>
        <w:tc>
          <w:tcPr>
            <w:tcW w:w="5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INDEKS</w:t>
            </w:r>
          </w:p>
        </w:tc>
      </w:tr>
      <w:tr>
        <w:tc>
          <w:tcPr>
            <w:tcW w:w="14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1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2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3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4</w:t>
            </w:r>
          </w:p>
        </w:tc>
        <w:tc>
          <w:tcPr>
            <w:tcW w:w="5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5=4/2</w:t>
            </w:r>
          </w:p>
        </w:tc>
        <w:tc>
          <w:tcPr>
            <w:tcW w:w="5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6=4/3</w:t>
            </w:r>
          </w:p>
        </w:tc>
      </w:tr>
      <w:tr>
        <w:tc>
          <w:tcPr>
            <w:tcW w:w="1400" w:type="pct"/>
            <w:vAlign w:val="center"/>
          </w:tcPr>
          <w:p>
            <w:pPr>
              <w:spacing w:after="0" w:line="240"/>
              <w:jc w:val="left"/>
            </w:pPr>
            <w:r>
              <w:rPr>
                <w:sz w:val="18"/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125.635.031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437.320.820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211.645.042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168,5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48,4</w:t>
            </w:r>
          </w:p>
        </w:tc>
      </w:tr>
      <w:tr>
        <w:tc>
          <w:tcPr>
            <w:tcW w:w="1400" w:type="pct"/>
            <w:vAlign w:val="bottom"/>
          </w:tcPr>
          <w:p>
            <w:pPr>
              <w:spacing w:after="0" w:line="240"/>
              <w:jc w:val="left"/>
            </w:pPr>
            <w:r>
              <w:rPr>
                <w:sz w:val="18"/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500.121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1.960.157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108.846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21,8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5,6</w:t>
            </w:r>
          </w:p>
        </w:tc>
      </w:tr>
      <w:tr>
        <w:tc>
          <w:tcPr>
            <w:tcW w:w="1400" w:type="pct"/>
            <w:vAlign w:val="bottom"/>
          </w:tcPr>
          <w:p>
            <w:pPr>
              <w:spacing w:after="0" w:line="240"/>
              <w:jc w:val="left"/>
            </w:pPr>
            <w:r>
              <w:rPr>
                <w:b/>
                <w:sz w:val="18"/>
                <w:rFonts w:ascii="Times New Roman" w:hAnsi="Times New Roman" w:cs="Times New Roman"/>
              </w:rPr>
              <w:t>UKUPNI RASHODI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126.135.152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439.280.977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211.753.888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167,9</w:t>
            </w:r>
          </w:p>
        </w:tc>
        <w:tc>
          <w:tcPr>
            <w:tcW w:w="5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48,2</w:t>
            </w:r>
          </w:p>
        </w:tc>
      </w:tr>
    </w:tbl>
    <w:p>
      <w:pPr>
        <w:spacing w:after="0" w:line="240"/>
      </w:pP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Rashodi Fonda u razdoblju I.-VI. 2024.
godine ostvareni u iznosu od 211.753.887,98 EUR ili 48,20% godišnjeg plana.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Rashodi poslovanja povećali su se za
86.010.010,57 EUR ili 68,46% u odnosu na isto izvještajno razdoblje 2023.
godine najvećim djelom zbog provedbe Odluke Vlade RH o subvencioniranju dijela
krajnje cijene opskrbe plinom za krajnje kupce kategorije kućanstvo te krajnje
kupce koji nisu kućanstvo s godišnjom potrošnjom plina do 10 GWh od 16. ožujka
2023. godine (NN 31/23) u cilju ublažavanja porasta cijene plina i sprečavanja
izloženosti građana energetskom siromaštvu temeljem koje je u prvom polugodištu
2024. godine po spomenutoj Odluci isplaćeno više sredstava nego u prvom
polugodištu 2023. godine.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Rashodi za nabavu nefinancijske imovine
manji su za 391.274,44 EUR ili 78,24% u odnosu na isto razdoblje 2023. godine
kada su vršene prilagodbe informacijskog sustava za euro konverziju.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Unatoč smanjenju rashoda za nabavu
nefinancijske imovine, ukupni rashodi i izdaci veći su za 85.618.736,13 EUR
odnosno 67,88% od rashoda i izdataka istog perioda 2023. godine.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U strukturi ukupno izvršenih rashoda za
I.-VI. 2024. godine udjel rashoda poslovanja iznosi 99,95% dok na rashode za
nabavu nefinancijske imovine otpada 0,05%.</w:t>
      </w:r>
    </w:p>
    <w:p>
      <w:pPr>
        <w:spacing w:line="360"/>
        <w:jc w:val="left"/>
      </w:pPr>
      <w:r>
        <w:rPr>
          <w:b/>
          <w:u w:val="single"/>
          <w:sz w:val="24"/>
          <w:rFonts w:ascii="Times New Roman" w:hAnsi="Times New Roman" w:cs="Times New Roman"/>
        </w:rPr>
        <w:br/>
        <w:t xml:space="preserve">RAČUN FINANCIRANJA</w:t>
      </w:r>
    </w:p>
    <w:p>
      <w:pPr>
        <w:spacing w:line="360"/>
        <w:jc w:val="left"/>
      </w:pPr>
      <w:r>
        <w:rPr>
          <w:b/>
          <w:u w:val="single"/>
          <w:sz w:val="24"/>
          <w:rFonts w:ascii="Times New Roman" w:hAnsi="Times New Roman" w:cs="Times New Roman"/>
        </w:rPr>
        <w:t xml:space="preserve">Račun prihoda i rashoda</w:t>
      </w:r>
    </w:p>
    <w:tbl>
      <w:tblPr>
        <w:tblW w:w="4850" w:type="pct"/>
        <w:tblBorders>
          <w:top w:val="single" w:sz="5"/>
          <w:bottom w:val="single" w:sz="5"/>
          <w:left w:val="single" w:sz="5"/>
          <w:right w:val="single" w:sz="5"/>
          <w:insideH w:val="single" w:sz="5"/>
          <w:insideV w:val="single" w:sz="5"/>
        </w:tblBorders>
        <w:tblCellMar>
          <w:top w:w="0" w:type="dxa"/>
          <w:start w:w="100" w:type="dxa"/>
          <w:bottom w:w="0" w:type="dxa"/>
          <w:end w:w="100" w:type="dxa"/>
        </w:tblCellMar>
      </w:tblPr>
      <w:tr>
        <w:tc>
          <w:tcPr>
            <w:tcW w:w="25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BROJČANA OZNAKA I NAZIV</w:t>
            </w:r>
          </w:p>
        </w:tc>
        <w:tc>
          <w:tcPr>
            <w:tcW w:w="10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PLAN</w:t>
              <w:br/>
              <w:t>2024.</w:t>
            </w:r>
          </w:p>
        </w:tc>
        <w:tc>
          <w:tcPr>
            <w:tcW w:w="10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OSTVARENJE/</w:t>
              <w:br/>
              <w:t>IZVRŠENJE 1.-6. 2024.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INDEKS</w:t>
            </w:r>
          </w:p>
        </w:tc>
      </w:tr>
      <w:tr>
        <w:tc>
          <w:tcPr>
            <w:tcW w:w="25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1</w:t>
            </w:r>
          </w:p>
        </w:tc>
        <w:tc>
          <w:tcPr>
            <w:tcW w:w="10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2</w:t>
            </w:r>
          </w:p>
        </w:tc>
        <w:tc>
          <w:tcPr>
            <w:tcW w:w="10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3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4=3/2</w:t>
            </w:r>
          </w:p>
        </w:tc>
      </w:tr>
      <w:tr>
        <w:tc>
          <w:tcPr>
            <w:tcW w:w="2500" w:type="pct"/>
            <w:vAlign w:val="center"/>
          </w:tcPr>
          <w:p>
            <w:pPr>
              <w:spacing w:after="0" w:line="240"/>
              <w:jc w:val="left"/>
            </w:pPr>
            <w:r>
              <w:rPr>
                <w:sz w:val="18"/>
                <w:rFonts w:ascii="Times New Roman" w:hAnsi="Times New Roman" w:cs="Times New Roman"/>
              </w:rPr>
              <w:t>UKUPNI PRIHODI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393.980.714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185.415.458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47,1</w:t>
            </w:r>
          </w:p>
        </w:tc>
      </w:tr>
      <w:tr>
        <w:tc>
          <w:tcPr>
            <w:tcW w:w="2500" w:type="pct"/>
            <w:vAlign w:val="bottom"/>
          </w:tcPr>
          <w:p>
            <w:pPr>
              <w:spacing w:after="0" w:line="240"/>
              <w:jc w:val="left"/>
            </w:pPr>
            <w:r>
              <w:rPr>
                <w:sz w:val="18"/>
                <w:rFonts w:ascii="Times New Roman" w:hAnsi="Times New Roman" w:cs="Times New Roman"/>
              </w:rPr>
              <w:t>UKUPNI RASHODI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439.280.977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211.753.888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48,2</w:t>
            </w:r>
          </w:p>
        </w:tc>
      </w:tr>
      <w:tr>
        <w:tc>
          <w:tcPr>
            <w:tcW w:w="2500" w:type="pct"/>
            <w:vAlign w:val="bottom"/>
          </w:tcPr>
          <w:p>
            <w:pPr>
              <w:spacing w:after="0" w:line="240"/>
              <w:jc w:val="left"/>
            </w:pPr>
            <w:r>
              <w:rPr>
                <w:b/>
                <w:sz w:val="18"/>
                <w:rFonts w:ascii="Times New Roman" w:hAnsi="Times New Roman" w:cs="Times New Roman"/>
              </w:rPr>
              <w:t>RAZLIKA - VIŠAK/MANJAK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-45.300.263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-26.338.430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58,1</w:t>
            </w:r>
          </w:p>
        </w:tc>
      </w:tr>
    </w:tbl>
    <w:p>
      <w:pPr>
        <w:spacing w:after="0" w:line="240"/>
      </w:pPr>
    </w:p>
    <w:p>
      <w:pPr>
        <w:spacing w:line="360"/>
        <w:jc w:val="left"/>
      </w:pPr>
      <w:r>
        <w:rPr>
          <w:b/>
          <w:u w:val="single"/>
          <w:sz w:val="24"/>
          <w:rFonts w:ascii="Times New Roman" w:hAnsi="Times New Roman" w:cs="Times New Roman"/>
        </w:rPr>
        <w:t xml:space="preserve">Račun financiranja</w:t>
      </w:r>
    </w:p>
    <w:tbl>
      <w:tblPr>
        <w:tblW w:w="4850" w:type="pct"/>
        <w:tblBorders>
          <w:top w:val="single" w:sz="5"/>
          <w:bottom w:val="single" w:sz="5"/>
          <w:left w:val="single" w:sz="5"/>
          <w:right w:val="single" w:sz="5"/>
          <w:insideH w:val="single" w:sz="5"/>
          <w:insideV w:val="single" w:sz="5"/>
        </w:tblBorders>
        <w:tblCellMar>
          <w:top w:w="0" w:type="dxa"/>
          <w:start w:w="100" w:type="dxa"/>
          <w:bottom w:w="0" w:type="dxa"/>
          <w:end w:w="100" w:type="dxa"/>
        </w:tblCellMar>
      </w:tblPr>
      <w:tr>
        <w:tc>
          <w:tcPr>
            <w:tcW w:w="25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BROJČANA OZNAKA I NAZIV</w:t>
            </w:r>
          </w:p>
        </w:tc>
        <w:tc>
          <w:tcPr>
            <w:tcW w:w="10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PLAN</w:t>
              <w:br/>
              <w:t>2024.</w:t>
            </w:r>
          </w:p>
        </w:tc>
        <w:tc>
          <w:tcPr>
            <w:tcW w:w="10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OSTVARENJE/</w:t>
              <w:br/>
              <w:t>IZVRŠENJE 1.-6. 2024.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b/>
                <w:sz w:val="18"/>
                <w:rFonts w:ascii="Times New Roman" w:hAnsi="Times New Roman" w:cs="Times New Roman"/>
              </w:rPr>
              <w:t>INDEKS</w:t>
            </w:r>
          </w:p>
        </w:tc>
      </w:tr>
      <w:tr>
        <w:tc>
          <w:tcPr>
            <w:tcW w:w="25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1</w:t>
            </w:r>
          </w:p>
        </w:tc>
        <w:tc>
          <w:tcPr>
            <w:tcW w:w="10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2</w:t>
            </w:r>
          </w:p>
        </w:tc>
        <w:tc>
          <w:tcPr>
            <w:tcW w:w="10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3</w:t>
            </w:r>
          </w:p>
        </w:tc>
        <w:tc>
          <w:tcPr>
            <w:tcW w:w="800" w:type="pct"/>
            <w:vAlign w:val="center"/>
            <w:shd w:val="clear" w:color="auto" w:fill="#bcdffb"/>
          </w:tcPr>
          <w:p>
            <w:pPr>
              <w:spacing w:after="0" w:line="240"/>
              <w:jc w:val="center"/>
            </w:pPr>
            <w:r>
              <w:rPr>
                <w:sz w:val="14"/>
                <w:rFonts w:ascii="Times New Roman" w:hAnsi="Times New Roman" w:cs="Times New Roman"/>
              </w:rPr>
              <w:t>4=3/2</w:t>
            </w:r>
          </w:p>
        </w:tc>
      </w:tr>
      <w:tr>
        <w:tc>
          <w:tcPr>
            <w:tcW w:w="2500" w:type="pct"/>
            <w:vAlign w:val="center"/>
          </w:tcPr>
          <w:p>
            <w:pPr>
              <w:spacing w:after="0" w:line="240"/>
              <w:jc w:val="left"/>
            </w:pPr>
            <w:r>
              <w:rPr>
                <w:sz w:val="18"/>
                <w:rFonts w:ascii="Times New Roman" w:hAnsi="Times New Roman" w:cs="Times New Roman"/>
              </w:rPr>
              <w:t>8 PRIMICI OD FINANCIJSKE IMOVINE I ZADUŽIVANJA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26.545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4.705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17,7</w:t>
            </w:r>
          </w:p>
        </w:tc>
      </w:tr>
      <w:tr>
        <w:tc>
          <w:tcPr>
            <w:tcW w:w="2500" w:type="pct"/>
            <w:vAlign w:val="bottom"/>
          </w:tcPr>
          <w:p>
            <w:pPr>
              <w:spacing w:after="0" w:line="240"/>
              <w:jc w:val="left"/>
            </w:pPr>
            <w:r>
              <w:rPr>
                <w:sz w:val="18"/>
                <w:rFonts w:ascii="Times New Roman" w:hAnsi="Times New Roman" w:cs="Times New Roman"/>
              </w:rPr>
              <w:t>5 IZDACI ZA FINANCIJSKU IMOVINU I OTPLATE ZAJMOVA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0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0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/>
            </w:r>
          </w:p>
        </w:tc>
      </w:tr>
      <w:tr>
        <w:tc>
          <w:tcPr>
            <w:tcW w:w="2500" w:type="pct"/>
            <w:vAlign w:val="bottom"/>
          </w:tcPr>
          <w:p>
            <w:pPr>
              <w:spacing w:after="0" w:line="240"/>
              <w:jc w:val="left"/>
            </w:pPr>
            <w:r>
              <w:rPr>
                <w:b/>
                <w:sz w:val="18"/>
                <w:rFonts w:ascii="Times New Roman" w:hAnsi="Times New Roman" w:cs="Times New Roman"/>
              </w:rPr>
              <w:t>RAZLIKA PRIMITAKA I IZDATAKA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26.545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4.705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17,7</w:t>
            </w:r>
          </w:p>
        </w:tc>
      </w:tr>
      <w:tr>
        <w:tc>
          <w:tcPr>
            <w:tcW w:w="2500" w:type="pct"/>
            <w:vAlign w:val="bottom"/>
          </w:tcPr>
          <w:p>
            <w:pPr>
              <w:spacing w:after="0" w:line="240"/>
              <w:jc w:val="left"/>
            </w:pPr>
            <w:r>
              <w:rPr>
                <w:sz w:val="18"/>
                <w:rFonts w:ascii="Times New Roman" w:hAnsi="Times New Roman" w:cs="Times New Roman"/>
              </w:rPr>
              <w:t>PRIJENOS SREDSTAVA IZ PRETHODNE GODINE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416.770.641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467.335.624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112,1</w:t>
            </w:r>
          </w:p>
        </w:tc>
      </w:tr>
      <w:tr>
        <w:tc>
          <w:tcPr>
            <w:tcW w:w="2500" w:type="pct"/>
            <w:vAlign w:val="bottom"/>
          </w:tcPr>
          <w:p>
            <w:pPr>
              <w:spacing w:after="0" w:line="240"/>
              <w:jc w:val="left"/>
            </w:pPr>
            <w:r>
              <w:rPr>
                <w:sz w:val="18"/>
                <w:rFonts w:ascii="Times New Roman" w:hAnsi="Times New Roman" w:cs="Times New Roman"/>
              </w:rPr>
              <w:t>PRIJENOS SREDSTAVA U SLJEDEĆE RAZDOBLJE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-371.496.923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-441.001.900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118,7</w:t>
            </w:r>
          </w:p>
        </w:tc>
      </w:tr>
      <w:tr>
        <w:tc>
          <w:tcPr>
            <w:tcW w:w="2500" w:type="pct"/>
            <w:vAlign w:val="bottom"/>
          </w:tcPr>
          <w:p>
            <w:pPr>
              <w:spacing w:after="0" w:line="240"/>
              <w:jc w:val="left"/>
            </w:pPr>
            <w:r>
              <w:rPr>
                <w:sz w:val="18"/>
                <w:rFonts w:ascii="Times New Roman" w:hAnsi="Times New Roman" w:cs="Times New Roman"/>
              </w:rPr>
              <w:t>NETO FINANCIRANJE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45.300.263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26.338.430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sz w:val="18"/>
                <w:rFonts w:ascii="Times New Roman" w:hAnsi="Times New Roman" w:cs="Times New Roman"/>
              </w:rPr>
              <w:t>58,1</w:t>
            </w:r>
          </w:p>
        </w:tc>
      </w:tr>
      <w:tr>
        <w:tc>
          <w:tcPr>
            <w:tcW w:w="2500" w:type="pct"/>
            <w:vAlign w:val="bottom"/>
          </w:tcPr>
          <w:p>
            <w:pPr>
              <w:spacing w:after="0" w:line="240"/>
              <w:jc w:val="left"/>
            </w:pPr>
            <w:r>
              <w:rPr>
                <w:b/>
                <w:sz w:val="18"/>
                <w:rFonts w:ascii="Times New Roman" w:hAnsi="Times New Roman" w:cs="Times New Roman"/>
              </w:rPr>
              <w:t>VIŠAK/MANJAK + NETO FINANCIRANJE</w:t>
            </w:r>
          </w:p>
        </w:tc>
        <w:tc>
          <w:tcPr>
            <w:tcW w:w="10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0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>0</w:t>
            </w:r>
          </w:p>
        </w:tc>
        <w:tc>
          <w:tcPr>
            <w:tcW w:w="800" w:type="pct"/>
            <w:vAlign w:val="bottom"/>
          </w:tcPr>
          <w:p>
            <w:pPr>
              <w:spacing w:after="0" w:line="240"/>
              <w:jc w:val="right"/>
            </w:pPr>
            <w:r>
              <w:rPr>
                <w:b/>
                <w:sz w:val="18"/>
                <w:rFonts w:ascii="Times New Roman" w:hAnsi="Times New Roman" w:cs="Times New Roman"/>
              </w:rPr>
              <w:t/>
            </w:r>
          </w:p>
        </w:tc>
      </w:tr>
    </w:tbl>
    <w:p>
      <w:pPr>
        <w:spacing w:after="0" w:line="240"/>
      </w:pP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Primici od financijske imovine i zaduživanja
ostvareni su u iznosu od 4.705,40 EUR (17,73%), a odnose se na povrate zajmova
danih tuzemnim trgovačkim društvima izvan javnog sektora. 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U odnosu na isto izvještajno razdoblje
2023. godine realizacija je veća za 66,67%.</w:t>
      </w:r>
    </w:p>
    <w:p>
      <w:pPr>
        <w:spacing w:line="360"/>
        <w:jc w:val="center"/>
      </w:pPr>
      <w:r>
        <w:rPr>
          <w:b/>
          <w:sz w:val="24"/>
          <w:rFonts w:ascii="Times New Roman" w:hAnsi="Times New Roman" w:cs="Times New Roman"/>
        </w:rPr>
        <w:br/>
        <w:t xml:space="preserve">IZVJEŠTAJ O ZADUŽIVANJU NA DOMAĆEM I STRANOM TRŽIŠTU NOVCA I KAPITALA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Fond se u izvještajnom razdoblju nije
zaduživao na domaćem i stranom tržištu novca i kapitala.</w:t>
      </w:r>
    </w:p>
    <w:p>
      <w:pPr>
        <w:spacing w:line="360"/>
        <w:jc w:val="center"/>
      </w:pPr>
      <w:r>
        <w:rPr>
          <w:b/>
          <w:sz w:val="24"/>
          <w:rFonts w:ascii="Times New Roman" w:hAnsi="Times New Roman" w:cs="Times New Roman"/>
        </w:rPr>
        <w:br/>
        <w:t xml:space="preserve">IZVJEŠTAJ O DANIM JAMSTVIMA I PLAĆANJIMA PO PROTESTIRANIM JAMSTVIMA </w:t>
      </w:r>
    </w:p>
    <w:p>
      <w:pPr>
        <w:spacing w:line="240"/>
        <w:jc w:val="both"/>
      </w:pPr>
      <w:r>
        <w:rPr>
          <w:rFonts w:ascii="Times New Roman" w:hAnsi="Times New Roman" w:cs="Times New Roman"/>
          <w:sz w:val="24"/>
        </w:rPr>
        <w:t xml:space="preserve">Fond u izvještajnom razdoblju nije izdao
jamstva niti izvršio plaćanja po protestiranim jamstvima.</w:t>
      </w:r>
    </w:p>
  </w:body>
</w:document>
</file>